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2ECE" w14:textId="77777777" w:rsidR="003C7FC2" w:rsidRDefault="00A67134" w:rsidP="003C7FC2">
      <w:pPr>
        <w:pStyle w:val="Heading1"/>
        <w:tabs>
          <w:tab w:val="right" w:pos="14459"/>
        </w:tabs>
      </w:pPr>
      <w:r>
        <w:t>Confined space audit</w:t>
      </w:r>
      <w:r w:rsidR="003C7FC2">
        <w:tab/>
      </w:r>
      <w:r w:rsidR="003C7FC2">
        <w:rPr>
          <w:caps w:val="0"/>
        </w:rPr>
        <w:t>Site</w:t>
      </w:r>
      <w:r w:rsidR="003C7FC2">
        <w:t xml:space="preserve">: </w:t>
      </w:r>
      <w:r w:rsidR="003417E4">
        <w:t>_</w:t>
      </w:r>
      <w:r w:rsidR="003C7FC2">
        <w:t>__</w:t>
      </w:r>
      <w:r w:rsidR="003417E4">
        <w:t>_</w:t>
      </w:r>
      <w:r w:rsidR="00631338">
        <w:t>___</w:t>
      </w:r>
      <w:r w:rsidR="003C7FC2">
        <w:t>_______________</w:t>
      </w:r>
      <w:r w:rsidR="00631338">
        <w:t>______</w:t>
      </w:r>
      <w:r w:rsidR="003C7FC2">
        <w:t>____</w:t>
      </w:r>
      <w:r w:rsidR="00401BFC">
        <w:t>_</w:t>
      </w:r>
    </w:p>
    <w:p w14:paraId="307B5055" w14:textId="77777777" w:rsidR="00603803" w:rsidRDefault="003417E4" w:rsidP="003C7FC2">
      <w:pPr>
        <w:pStyle w:val="Heading1"/>
        <w:tabs>
          <w:tab w:val="right" w:pos="14459"/>
        </w:tabs>
        <w:jc w:val="right"/>
      </w:pPr>
      <w:r>
        <w:rPr>
          <w:caps w:val="0"/>
        </w:rPr>
        <w:t>Date</w:t>
      </w:r>
      <w:r w:rsidR="00631338">
        <w:rPr>
          <w:caps w:val="0"/>
        </w:rPr>
        <w:t xml:space="preserve"> conducted</w:t>
      </w:r>
      <w:r w:rsidR="003C7FC2">
        <w:t>:</w:t>
      </w:r>
      <w:r w:rsidR="00631338">
        <w:t>___</w:t>
      </w:r>
      <w:r>
        <w:t>__</w:t>
      </w:r>
      <w:r w:rsidR="003C7FC2">
        <w:t>____</w:t>
      </w:r>
      <w:r>
        <w:t>_</w:t>
      </w:r>
      <w:r w:rsidR="003C7FC2">
        <w:t>__</w:t>
      </w:r>
      <w:r w:rsidR="00631338">
        <w:t>______</w:t>
      </w:r>
      <w:r w:rsidR="003C7FC2">
        <w:t>_____</w:t>
      </w:r>
    </w:p>
    <w:p w14:paraId="05C588E6" w14:textId="77777777" w:rsidR="00A415A4" w:rsidRDefault="009532F2" w:rsidP="00A415A4">
      <w:pPr>
        <w:pStyle w:val="Heading1"/>
      </w:pPr>
      <w:r>
        <w:t>1</w:t>
      </w:r>
      <w:r>
        <w:tab/>
      </w:r>
      <w:r w:rsidR="00A415A4">
        <w:t>Confined space</w:t>
      </w:r>
    </w:p>
    <w:tbl>
      <w:tblPr>
        <w:tblStyle w:val="TableGrid"/>
        <w:tblW w:w="5000" w:type="pct"/>
        <w:tblLook w:val="0000" w:firstRow="0" w:lastRow="0" w:firstColumn="0" w:lastColumn="0" w:noHBand="0" w:noVBand="0"/>
      </w:tblPr>
      <w:tblGrid>
        <w:gridCol w:w="930"/>
        <w:gridCol w:w="4583"/>
        <w:gridCol w:w="1948"/>
        <w:gridCol w:w="6988"/>
      </w:tblGrid>
      <w:tr w:rsidR="00A415A4" w:rsidRPr="00565D8C" w14:paraId="55DA6895" w14:textId="77777777" w:rsidTr="00FD067F">
        <w:trPr>
          <w:trHeight w:val="322"/>
        </w:trPr>
        <w:tc>
          <w:tcPr>
            <w:tcW w:w="322" w:type="pct"/>
            <w:shd w:val="clear" w:color="auto" w:fill="F2F2F2" w:themeFill="background1" w:themeFillShade="F2"/>
          </w:tcPr>
          <w:p w14:paraId="0621A5FE" w14:textId="77777777" w:rsidR="00A415A4" w:rsidRPr="00565D8C" w:rsidRDefault="00A415A4" w:rsidP="00D52057">
            <w:pPr>
              <w:pStyle w:val="Tablenormal0"/>
              <w:rPr>
                <w:b/>
                <w:color w:val="000080"/>
              </w:rPr>
            </w:pPr>
            <w:r w:rsidRPr="00565D8C">
              <w:rPr>
                <w:b/>
                <w:color w:val="000080"/>
              </w:rPr>
              <w:t>Point</w:t>
            </w:r>
          </w:p>
        </w:tc>
        <w:tc>
          <w:tcPr>
            <w:tcW w:w="1586" w:type="pct"/>
            <w:shd w:val="clear" w:color="auto" w:fill="F2F2F2" w:themeFill="background1" w:themeFillShade="F2"/>
          </w:tcPr>
          <w:p w14:paraId="53E9AADC" w14:textId="77777777" w:rsidR="00A415A4" w:rsidRPr="00565D8C" w:rsidRDefault="00A415A4" w:rsidP="00D52057">
            <w:pPr>
              <w:pStyle w:val="Tablenormal0"/>
              <w:rPr>
                <w:b/>
                <w:color w:val="000080"/>
              </w:rPr>
            </w:pPr>
            <w:r w:rsidRPr="00565D8C">
              <w:rPr>
                <w:b/>
                <w:color w:val="000080"/>
              </w:rPr>
              <w:t>Standard</w:t>
            </w:r>
          </w:p>
        </w:tc>
        <w:tc>
          <w:tcPr>
            <w:tcW w:w="674" w:type="pct"/>
            <w:shd w:val="clear" w:color="auto" w:fill="F2F2F2" w:themeFill="background1" w:themeFillShade="F2"/>
          </w:tcPr>
          <w:p w14:paraId="464C8C7E" w14:textId="77777777" w:rsidR="00A415A4" w:rsidRPr="00565D8C" w:rsidRDefault="00A415A4" w:rsidP="00D52057">
            <w:pPr>
              <w:pStyle w:val="Tablenormal0"/>
              <w:rPr>
                <w:b/>
                <w:color w:val="000080"/>
              </w:rPr>
            </w:pPr>
            <w:r>
              <w:rPr>
                <w:b/>
                <w:color w:val="000080"/>
              </w:rPr>
              <w:t>Standard m</w:t>
            </w:r>
            <w:r w:rsidRPr="00565D8C">
              <w:rPr>
                <w:b/>
                <w:color w:val="000080"/>
              </w:rPr>
              <w:t>et</w:t>
            </w:r>
          </w:p>
        </w:tc>
        <w:tc>
          <w:tcPr>
            <w:tcW w:w="2418" w:type="pct"/>
            <w:shd w:val="clear" w:color="auto" w:fill="F2F2F2" w:themeFill="background1" w:themeFillShade="F2"/>
          </w:tcPr>
          <w:p w14:paraId="01B69E0F" w14:textId="77777777" w:rsidR="00A415A4" w:rsidRPr="00565D8C" w:rsidRDefault="00A415A4" w:rsidP="00D52057">
            <w:pPr>
              <w:pStyle w:val="Tablenormal0"/>
              <w:rPr>
                <w:b/>
                <w:color w:val="000080"/>
              </w:rPr>
            </w:pPr>
            <w:r w:rsidRPr="00565D8C">
              <w:rPr>
                <w:b/>
                <w:color w:val="000080"/>
              </w:rPr>
              <w:t>Comments</w:t>
            </w:r>
          </w:p>
        </w:tc>
      </w:tr>
      <w:tr w:rsidR="00A415A4" w:rsidRPr="00565D8C" w14:paraId="5FE5221C" w14:textId="77777777" w:rsidTr="00FD067F">
        <w:trPr>
          <w:trHeight w:val="488"/>
        </w:trPr>
        <w:tc>
          <w:tcPr>
            <w:tcW w:w="322" w:type="pct"/>
          </w:tcPr>
          <w:p w14:paraId="36EB12BE" w14:textId="77777777" w:rsidR="00A415A4" w:rsidRDefault="00A415A4" w:rsidP="00D52057">
            <w:pPr>
              <w:pStyle w:val="Tablenormal0"/>
              <w:rPr>
                <w:color w:val="000080"/>
              </w:rPr>
            </w:pPr>
            <w:r>
              <w:rPr>
                <w:color w:val="000080"/>
              </w:rPr>
              <w:t>1.1</w:t>
            </w:r>
          </w:p>
        </w:tc>
        <w:tc>
          <w:tcPr>
            <w:tcW w:w="1586" w:type="pct"/>
          </w:tcPr>
          <w:p w14:paraId="733AE21B" w14:textId="77777777" w:rsidR="00A415A4" w:rsidRDefault="00A415A4" w:rsidP="00BF440B">
            <w:pPr>
              <w:pStyle w:val="Tablenormal0"/>
            </w:pPr>
            <w:r>
              <w:t>Confined spaces on the site have been identified using the correct definition within AS 2865.</w:t>
            </w:r>
          </w:p>
        </w:tc>
        <w:tc>
          <w:tcPr>
            <w:tcW w:w="674" w:type="pct"/>
          </w:tcPr>
          <w:p w14:paraId="350112E8" w14:textId="77777777" w:rsidR="00A415A4" w:rsidRPr="00565D8C" w:rsidRDefault="00A415A4" w:rsidP="00D52057">
            <w:pPr>
              <w:pStyle w:val="Tablenormal0"/>
            </w:pPr>
          </w:p>
        </w:tc>
        <w:tc>
          <w:tcPr>
            <w:tcW w:w="2418" w:type="pct"/>
          </w:tcPr>
          <w:p w14:paraId="053F13BE" w14:textId="77777777" w:rsidR="00A415A4" w:rsidRPr="00565D8C" w:rsidRDefault="00A415A4" w:rsidP="00D52057">
            <w:pPr>
              <w:pStyle w:val="Tablenormal0"/>
            </w:pPr>
          </w:p>
        </w:tc>
      </w:tr>
      <w:tr w:rsidR="00A415A4" w:rsidRPr="00565D8C" w14:paraId="45A5F943" w14:textId="77777777" w:rsidTr="00FD067F">
        <w:trPr>
          <w:trHeight w:val="488"/>
        </w:trPr>
        <w:tc>
          <w:tcPr>
            <w:tcW w:w="322" w:type="pct"/>
          </w:tcPr>
          <w:p w14:paraId="745A6DF3" w14:textId="77777777" w:rsidR="00A415A4" w:rsidRDefault="00A415A4" w:rsidP="00D52057">
            <w:pPr>
              <w:pStyle w:val="Tablenormal0"/>
              <w:rPr>
                <w:color w:val="000080"/>
              </w:rPr>
            </w:pPr>
            <w:r>
              <w:rPr>
                <w:color w:val="000080"/>
              </w:rPr>
              <w:t>1.2</w:t>
            </w:r>
          </w:p>
        </w:tc>
        <w:tc>
          <w:tcPr>
            <w:tcW w:w="1586" w:type="pct"/>
          </w:tcPr>
          <w:p w14:paraId="4C39050D" w14:textId="77777777" w:rsidR="00A415A4" w:rsidRDefault="00A415A4" w:rsidP="00BF440B">
            <w:pPr>
              <w:pStyle w:val="Tablenormal0"/>
            </w:pPr>
            <w:r>
              <w:t>Confined spaces that may be introduced to site as a result of changes in plant, or during construction activities are identified as part of the change management process.</w:t>
            </w:r>
          </w:p>
        </w:tc>
        <w:tc>
          <w:tcPr>
            <w:tcW w:w="674" w:type="pct"/>
          </w:tcPr>
          <w:p w14:paraId="4283B4A4" w14:textId="77777777" w:rsidR="00A415A4" w:rsidRPr="00565D8C" w:rsidRDefault="00A415A4" w:rsidP="00D52057">
            <w:pPr>
              <w:pStyle w:val="Tablenormal0"/>
            </w:pPr>
          </w:p>
        </w:tc>
        <w:tc>
          <w:tcPr>
            <w:tcW w:w="2418" w:type="pct"/>
          </w:tcPr>
          <w:p w14:paraId="51B5C727" w14:textId="77777777" w:rsidR="00A415A4" w:rsidRPr="00565D8C" w:rsidRDefault="00A415A4" w:rsidP="00D52057">
            <w:pPr>
              <w:pStyle w:val="Tablenormal0"/>
            </w:pPr>
          </w:p>
        </w:tc>
      </w:tr>
    </w:tbl>
    <w:p w14:paraId="0B584DDE" w14:textId="77777777" w:rsidR="00A415A4" w:rsidRDefault="00BF440B" w:rsidP="00BF440B">
      <w:pPr>
        <w:pStyle w:val="Heading1"/>
      </w:pPr>
      <w:r>
        <w:t>2</w:t>
      </w:r>
      <w:r>
        <w:tab/>
        <w:t>Confined space hazards</w:t>
      </w:r>
    </w:p>
    <w:tbl>
      <w:tblPr>
        <w:tblStyle w:val="TableGrid"/>
        <w:tblW w:w="5000" w:type="pct"/>
        <w:tblLook w:val="0000" w:firstRow="0" w:lastRow="0" w:firstColumn="0" w:lastColumn="0" w:noHBand="0" w:noVBand="0"/>
      </w:tblPr>
      <w:tblGrid>
        <w:gridCol w:w="930"/>
        <w:gridCol w:w="4583"/>
        <w:gridCol w:w="1948"/>
        <w:gridCol w:w="6988"/>
      </w:tblGrid>
      <w:tr w:rsidR="001A4540" w:rsidRPr="00565D8C" w14:paraId="5696D5B8" w14:textId="77777777" w:rsidTr="00FD067F">
        <w:trPr>
          <w:cantSplit/>
          <w:trHeight w:val="322"/>
          <w:tblHeader/>
        </w:trPr>
        <w:tc>
          <w:tcPr>
            <w:tcW w:w="322" w:type="pct"/>
            <w:shd w:val="clear" w:color="auto" w:fill="F2F2F2" w:themeFill="background1" w:themeFillShade="F2"/>
          </w:tcPr>
          <w:p w14:paraId="55AFFEE9" w14:textId="77777777" w:rsidR="001A4540" w:rsidRPr="00565D8C" w:rsidRDefault="001A4540" w:rsidP="00D52057">
            <w:pPr>
              <w:pStyle w:val="Tablenormal0"/>
              <w:rPr>
                <w:b/>
                <w:color w:val="000080"/>
              </w:rPr>
            </w:pPr>
            <w:r w:rsidRPr="00565D8C">
              <w:rPr>
                <w:b/>
                <w:color w:val="000080"/>
              </w:rPr>
              <w:t>Point</w:t>
            </w:r>
          </w:p>
        </w:tc>
        <w:tc>
          <w:tcPr>
            <w:tcW w:w="1586" w:type="pct"/>
            <w:shd w:val="clear" w:color="auto" w:fill="F2F2F2" w:themeFill="background1" w:themeFillShade="F2"/>
          </w:tcPr>
          <w:p w14:paraId="5BD31280" w14:textId="77777777" w:rsidR="001A4540" w:rsidRPr="00565D8C" w:rsidRDefault="001A4540" w:rsidP="00D52057">
            <w:pPr>
              <w:pStyle w:val="Tablenormal0"/>
              <w:rPr>
                <w:b/>
                <w:color w:val="000080"/>
              </w:rPr>
            </w:pPr>
            <w:r w:rsidRPr="00565D8C">
              <w:rPr>
                <w:b/>
                <w:color w:val="000080"/>
              </w:rPr>
              <w:t>Standard</w:t>
            </w:r>
          </w:p>
        </w:tc>
        <w:tc>
          <w:tcPr>
            <w:tcW w:w="674" w:type="pct"/>
            <w:shd w:val="clear" w:color="auto" w:fill="F2F2F2" w:themeFill="background1" w:themeFillShade="F2"/>
          </w:tcPr>
          <w:p w14:paraId="4B799AE1" w14:textId="77777777" w:rsidR="001A4540" w:rsidRPr="00565D8C" w:rsidRDefault="001A4540" w:rsidP="00D52057">
            <w:pPr>
              <w:pStyle w:val="Tablenormal0"/>
              <w:rPr>
                <w:b/>
                <w:color w:val="000080"/>
              </w:rPr>
            </w:pPr>
            <w:r>
              <w:rPr>
                <w:b/>
                <w:color w:val="000080"/>
              </w:rPr>
              <w:t>Standard m</w:t>
            </w:r>
            <w:r w:rsidRPr="00565D8C">
              <w:rPr>
                <w:b/>
                <w:color w:val="000080"/>
              </w:rPr>
              <w:t>et</w:t>
            </w:r>
          </w:p>
        </w:tc>
        <w:tc>
          <w:tcPr>
            <w:tcW w:w="2418" w:type="pct"/>
            <w:shd w:val="clear" w:color="auto" w:fill="F2F2F2" w:themeFill="background1" w:themeFillShade="F2"/>
          </w:tcPr>
          <w:p w14:paraId="1337968A" w14:textId="77777777" w:rsidR="001A4540" w:rsidRPr="00565D8C" w:rsidRDefault="001A4540" w:rsidP="00D52057">
            <w:pPr>
              <w:pStyle w:val="Tablenormal0"/>
              <w:rPr>
                <w:b/>
                <w:color w:val="000080"/>
              </w:rPr>
            </w:pPr>
            <w:r w:rsidRPr="00565D8C">
              <w:rPr>
                <w:b/>
                <w:color w:val="000080"/>
              </w:rPr>
              <w:t>Comments</w:t>
            </w:r>
          </w:p>
        </w:tc>
      </w:tr>
      <w:tr w:rsidR="001A4540" w:rsidRPr="00565D8C" w14:paraId="04D372AC" w14:textId="77777777" w:rsidTr="00FD067F">
        <w:trPr>
          <w:cantSplit/>
          <w:trHeight w:val="488"/>
        </w:trPr>
        <w:tc>
          <w:tcPr>
            <w:tcW w:w="322" w:type="pct"/>
          </w:tcPr>
          <w:p w14:paraId="7391C669" w14:textId="77777777" w:rsidR="001A4540" w:rsidRDefault="001A4540" w:rsidP="00D52057">
            <w:pPr>
              <w:pStyle w:val="Tablenormal0"/>
              <w:rPr>
                <w:color w:val="000080"/>
              </w:rPr>
            </w:pPr>
            <w:r>
              <w:rPr>
                <w:color w:val="000080"/>
              </w:rPr>
              <w:t>2.1</w:t>
            </w:r>
          </w:p>
        </w:tc>
        <w:tc>
          <w:tcPr>
            <w:tcW w:w="1586" w:type="pct"/>
          </w:tcPr>
          <w:p w14:paraId="3A75B0CB" w14:textId="77777777" w:rsidR="001A4540" w:rsidRDefault="001A4540" w:rsidP="00493715">
            <w:pPr>
              <w:pStyle w:val="Tablenormal0"/>
            </w:pPr>
            <w:r>
              <w:t>For any confined space, the hazards associated with conducting tasks in or on the confined space shall be identified.</w:t>
            </w:r>
          </w:p>
        </w:tc>
        <w:tc>
          <w:tcPr>
            <w:tcW w:w="674" w:type="pct"/>
          </w:tcPr>
          <w:p w14:paraId="500C1EF5" w14:textId="77777777" w:rsidR="001A4540" w:rsidRPr="00565D8C" w:rsidRDefault="001A4540" w:rsidP="00D52057">
            <w:pPr>
              <w:pStyle w:val="Tablenormal0"/>
            </w:pPr>
          </w:p>
        </w:tc>
        <w:tc>
          <w:tcPr>
            <w:tcW w:w="2418" w:type="pct"/>
          </w:tcPr>
          <w:p w14:paraId="7C0C7438" w14:textId="77777777" w:rsidR="001A4540" w:rsidRPr="00565D8C" w:rsidRDefault="001A4540" w:rsidP="00D52057">
            <w:pPr>
              <w:pStyle w:val="Tablenormal0"/>
            </w:pPr>
          </w:p>
        </w:tc>
      </w:tr>
      <w:tr w:rsidR="001A4540" w:rsidRPr="00565D8C" w14:paraId="6601851B" w14:textId="77777777" w:rsidTr="00FD067F">
        <w:trPr>
          <w:cantSplit/>
          <w:trHeight w:val="488"/>
        </w:trPr>
        <w:tc>
          <w:tcPr>
            <w:tcW w:w="322" w:type="pct"/>
          </w:tcPr>
          <w:p w14:paraId="3EE2DA5F" w14:textId="77777777" w:rsidR="001A4540" w:rsidRDefault="001A4540" w:rsidP="00D52057">
            <w:pPr>
              <w:pStyle w:val="Tablenormal0"/>
              <w:rPr>
                <w:color w:val="000080"/>
              </w:rPr>
            </w:pPr>
            <w:r>
              <w:rPr>
                <w:color w:val="000080"/>
              </w:rPr>
              <w:lastRenderedPageBreak/>
              <w:t>2.2</w:t>
            </w:r>
          </w:p>
        </w:tc>
        <w:tc>
          <w:tcPr>
            <w:tcW w:w="1586" w:type="pct"/>
          </w:tcPr>
          <w:p w14:paraId="1FE03698" w14:textId="77777777" w:rsidR="00493715" w:rsidRDefault="001A4540" w:rsidP="00493715">
            <w:pPr>
              <w:pStyle w:val="Tablenormal0"/>
            </w:pPr>
            <w:r>
              <w:t>No person shall enter a confined space unless</w:t>
            </w:r>
            <w:r w:rsidR="00493715">
              <w:t>–</w:t>
            </w:r>
          </w:p>
          <w:p w14:paraId="779B3504" w14:textId="77777777" w:rsidR="002A075D" w:rsidRDefault="001A4540" w:rsidP="002A075D">
            <w:pPr>
              <w:pStyle w:val="Tablenormal0"/>
              <w:numPr>
                <w:ilvl w:val="0"/>
                <w:numId w:val="32"/>
              </w:numPr>
            </w:pPr>
            <w:r>
              <w:t>review of the risk assessment has been completed in accordanc</w:t>
            </w:r>
            <w:r w:rsidR="002A075D">
              <w:t>e with Clauses 3.3.1 and 3.3.5;</w:t>
            </w:r>
          </w:p>
          <w:p w14:paraId="184DC574" w14:textId="77777777" w:rsidR="002A075D" w:rsidRDefault="001A4540" w:rsidP="002A075D">
            <w:pPr>
              <w:pStyle w:val="Tablenormal0"/>
              <w:numPr>
                <w:ilvl w:val="0"/>
                <w:numId w:val="32"/>
              </w:numPr>
            </w:pPr>
            <w:r>
              <w:t>written authority is provided to, or completed by, the person responsible for direct control of the tasks in the confined space;</w:t>
            </w:r>
          </w:p>
          <w:p w14:paraId="7A9CB54D" w14:textId="77777777" w:rsidR="002A075D" w:rsidRDefault="001A4540" w:rsidP="002A075D">
            <w:pPr>
              <w:pStyle w:val="Tablenormal0"/>
              <w:numPr>
                <w:ilvl w:val="0"/>
                <w:numId w:val="32"/>
              </w:numPr>
            </w:pPr>
            <w:r>
              <w:t>the written authority includes any risk control measures or precautions necessary, including the number of stand-by persons required, for the safe en</w:t>
            </w:r>
            <w:r w:rsidR="002A075D">
              <w:t>try and execution of the tasks;</w:t>
            </w:r>
          </w:p>
          <w:p w14:paraId="68E433B8" w14:textId="77777777" w:rsidR="008E4F7A" w:rsidRDefault="001A4540" w:rsidP="008E4F7A">
            <w:pPr>
              <w:pStyle w:val="Tablenormal0"/>
              <w:numPr>
                <w:ilvl w:val="0"/>
                <w:numId w:val="32"/>
              </w:numPr>
            </w:pPr>
            <w:r>
              <w:t>they are advised of, understand and comply with the requirements of the written authority;</w:t>
            </w:r>
            <w:r w:rsidR="008E4F7A">
              <w:t xml:space="preserve"> </w:t>
            </w:r>
          </w:p>
          <w:p w14:paraId="15A117A7" w14:textId="77777777" w:rsidR="008E4F7A" w:rsidRDefault="001A4540" w:rsidP="008E4F7A">
            <w:pPr>
              <w:pStyle w:val="Tablenormal0"/>
              <w:numPr>
                <w:ilvl w:val="0"/>
                <w:numId w:val="32"/>
              </w:numPr>
            </w:pPr>
            <w:r>
              <w:t>a record of their presence in th</w:t>
            </w:r>
            <w:r w:rsidR="008E4F7A">
              <w:t>e confined space is maintained;</w:t>
            </w:r>
          </w:p>
          <w:p w14:paraId="6015142B" w14:textId="77777777" w:rsidR="008E4F7A" w:rsidRDefault="001A4540" w:rsidP="008E4F7A">
            <w:pPr>
              <w:pStyle w:val="Tablenormal0"/>
              <w:numPr>
                <w:ilvl w:val="0"/>
                <w:numId w:val="32"/>
              </w:numPr>
            </w:pPr>
            <w:r>
              <w:t>signs and protective barriers are erected to prevent entry of persons</w:t>
            </w:r>
            <w:r w:rsidR="008E4F7A">
              <w:t xml:space="preserve"> not involved in the tasks; and</w:t>
            </w:r>
          </w:p>
          <w:p w14:paraId="23B39FCC" w14:textId="77777777" w:rsidR="001A4540" w:rsidRDefault="001A4540" w:rsidP="008E4F7A">
            <w:pPr>
              <w:pStyle w:val="Tablenormal0"/>
              <w:numPr>
                <w:ilvl w:val="0"/>
                <w:numId w:val="32"/>
              </w:numPr>
            </w:pPr>
            <w:r>
              <w:t>appropriate and sufficient arrangements have been made for the initiation of emergency response and, where necessary, rescue of persons from the confined space</w:t>
            </w:r>
          </w:p>
        </w:tc>
        <w:tc>
          <w:tcPr>
            <w:tcW w:w="674" w:type="pct"/>
          </w:tcPr>
          <w:p w14:paraId="3D061759" w14:textId="77777777" w:rsidR="001A4540" w:rsidRPr="00565D8C" w:rsidRDefault="001A4540" w:rsidP="00D52057">
            <w:pPr>
              <w:pStyle w:val="Tablenormal0"/>
            </w:pPr>
          </w:p>
        </w:tc>
        <w:tc>
          <w:tcPr>
            <w:tcW w:w="2418" w:type="pct"/>
          </w:tcPr>
          <w:p w14:paraId="2DBA7AB0" w14:textId="77777777" w:rsidR="001A4540" w:rsidRPr="00565D8C" w:rsidRDefault="001A4540" w:rsidP="00D52057">
            <w:pPr>
              <w:pStyle w:val="Tablenormal0"/>
            </w:pPr>
          </w:p>
        </w:tc>
      </w:tr>
      <w:tr w:rsidR="001A4540" w:rsidRPr="00565D8C" w14:paraId="4C253DB6" w14:textId="77777777" w:rsidTr="00FD067F">
        <w:trPr>
          <w:cantSplit/>
          <w:trHeight w:val="488"/>
        </w:trPr>
        <w:tc>
          <w:tcPr>
            <w:tcW w:w="322" w:type="pct"/>
          </w:tcPr>
          <w:p w14:paraId="635C4E79" w14:textId="77777777" w:rsidR="001A4540" w:rsidRDefault="001A4540" w:rsidP="00D52057">
            <w:pPr>
              <w:pStyle w:val="Tablenormal0"/>
              <w:rPr>
                <w:color w:val="000080"/>
              </w:rPr>
            </w:pPr>
            <w:r>
              <w:rPr>
                <w:color w:val="000080"/>
              </w:rPr>
              <w:t>2.3</w:t>
            </w:r>
          </w:p>
        </w:tc>
        <w:tc>
          <w:tcPr>
            <w:tcW w:w="1586" w:type="pct"/>
          </w:tcPr>
          <w:p w14:paraId="673B66D9" w14:textId="77777777" w:rsidR="001A4540" w:rsidRDefault="001A4540" w:rsidP="00E974DE">
            <w:pPr>
              <w:pStyle w:val="Tablenormal0"/>
            </w:pPr>
            <w:r>
              <w:t>A safe system of work is implemented to eliminate or minimise falling from height risks when conducting tasks associated with a confined space.</w:t>
            </w:r>
          </w:p>
        </w:tc>
        <w:tc>
          <w:tcPr>
            <w:tcW w:w="674" w:type="pct"/>
          </w:tcPr>
          <w:p w14:paraId="6CE58C70" w14:textId="77777777" w:rsidR="001A4540" w:rsidRPr="00565D8C" w:rsidRDefault="001A4540" w:rsidP="00D52057">
            <w:pPr>
              <w:pStyle w:val="Tablenormal0"/>
            </w:pPr>
          </w:p>
        </w:tc>
        <w:tc>
          <w:tcPr>
            <w:tcW w:w="2418" w:type="pct"/>
          </w:tcPr>
          <w:p w14:paraId="3D499D53" w14:textId="77777777" w:rsidR="001A4540" w:rsidRPr="00565D8C" w:rsidRDefault="001A4540" w:rsidP="00D52057">
            <w:pPr>
              <w:pStyle w:val="Tablenormal0"/>
            </w:pPr>
          </w:p>
        </w:tc>
      </w:tr>
      <w:tr w:rsidR="001A4540" w:rsidRPr="00565D8C" w14:paraId="05388816" w14:textId="77777777" w:rsidTr="00FD067F">
        <w:trPr>
          <w:cantSplit/>
          <w:trHeight w:val="488"/>
        </w:trPr>
        <w:tc>
          <w:tcPr>
            <w:tcW w:w="322" w:type="pct"/>
          </w:tcPr>
          <w:p w14:paraId="4BBD50AC" w14:textId="77777777" w:rsidR="001A4540" w:rsidRDefault="001A4540" w:rsidP="00D52057">
            <w:pPr>
              <w:pStyle w:val="Tablenormal0"/>
              <w:rPr>
                <w:color w:val="000080"/>
              </w:rPr>
            </w:pPr>
            <w:r>
              <w:rPr>
                <w:color w:val="000080"/>
              </w:rPr>
              <w:lastRenderedPageBreak/>
              <w:t>2.4</w:t>
            </w:r>
          </w:p>
        </w:tc>
        <w:tc>
          <w:tcPr>
            <w:tcW w:w="1586" w:type="pct"/>
          </w:tcPr>
          <w:p w14:paraId="38CCC35B" w14:textId="77777777" w:rsidR="00E974DE" w:rsidRDefault="001A4540" w:rsidP="00E974DE">
            <w:pPr>
              <w:pStyle w:val="Tablenormal0"/>
            </w:pPr>
            <w:r>
              <w:t>Risk control measures shall requi</w:t>
            </w:r>
            <w:r w:rsidR="00E974DE">
              <w:t>re –</w:t>
            </w:r>
          </w:p>
          <w:p w14:paraId="226F50FA" w14:textId="77777777" w:rsidR="00E974DE" w:rsidRDefault="001A4540" w:rsidP="0061320F">
            <w:pPr>
              <w:pStyle w:val="Tablenormal0"/>
              <w:numPr>
                <w:ilvl w:val="0"/>
                <w:numId w:val="33"/>
              </w:numPr>
            </w:pPr>
            <w:r>
              <w:t xml:space="preserve">Provision of </w:t>
            </w:r>
            <w:r w:rsidR="00E974DE">
              <w:t>a standby person or persons; or</w:t>
            </w:r>
          </w:p>
          <w:p w14:paraId="23825546" w14:textId="77777777" w:rsidR="001A4540" w:rsidRDefault="001A4540" w:rsidP="0061320F">
            <w:pPr>
              <w:pStyle w:val="Tablenormal0"/>
              <w:numPr>
                <w:ilvl w:val="0"/>
                <w:numId w:val="33"/>
              </w:numPr>
            </w:pPr>
            <w:r>
              <w:t>Systems of work methods and controls that provide an equal or better safety outcome to that provided by a standby person (see Clause 1.5.20).</w:t>
            </w:r>
          </w:p>
        </w:tc>
        <w:tc>
          <w:tcPr>
            <w:tcW w:w="674" w:type="pct"/>
          </w:tcPr>
          <w:p w14:paraId="5A0E18B9" w14:textId="77777777" w:rsidR="001A4540" w:rsidRPr="00565D8C" w:rsidRDefault="001A4540" w:rsidP="00D52057">
            <w:pPr>
              <w:pStyle w:val="Tablenormal0"/>
            </w:pPr>
          </w:p>
        </w:tc>
        <w:tc>
          <w:tcPr>
            <w:tcW w:w="2418" w:type="pct"/>
          </w:tcPr>
          <w:p w14:paraId="69D7572F" w14:textId="77777777" w:rsidR="001A4540" w:rsidRPr="00565D8C" w:rsidRDefault="001A4540" w:rsidP="00D52057">
            <w:pPr>
              <w:pStyle w:val="Tablenormal0"/>
            </w:pPr>
          </w:p>
        </w:tc>
      </w:tr>
      <w:tr w:rsidR="001A4540" w:rsidRPr="00565D8C" w14:paraId="10687E8E" w14:textId="77777777" w:rsidTr="00FD067F">
        <w:trPr>
          <w:cantSplit/>
          <w:trHeight w:val="488"/>
        </w:trPr>
        <w:tc>
          <w:tcPr>
            <w:tcW w:w="322" w:type="pct"/>
          </w:tcPr>
          <w:p w14:paraId="64C95795" w14:textId="77777777" w:rsidR="001A4540" w:rsidRDefault="001A4540" w:rsidP="00D52057">
            <w:pPr>
              <w:pStyle w:val="Tablenormal0"/>
              <w:rPr>
                <w:color w:val="000080"/>
              </w:rPr>
            </w:pPr>
            <w:r>
              <w:rPr>
                <w:color w:val="000080"/>
              </w:rPr>
              <w:t>2.5</w:t>
            </w:r>
          </w:p>
        </w:tc>
        <w:tc>
          <w:tcPr>
            <w:tcW w:w="1586" w:type="pct"/>
          </w:tcPr>
          <w:p w14:paraId="1B31D3AF" w14:textId="77777777" w:rsidR="00A53F87" w:rsidRDefault="001A4540" w:rsidP="00A53F87">
            <w:pPr>
              <w:pStyle w:val="Tablenormal0"/>
            </w:pPr>
            <w:r>
              <w:t xml:space="preserve">Before a person enters a confined space, and where it is technically feasible to do so, the atmosphere of the confined space shall have </w:t>
            </w:r>
            <w:r w:rsidR="00A53F87">
              <w:t>–</w:t>
            </w:r>
          </w:p>
          <w:p w14:paraId="6192B145" w14:textId="77777777" w:rsidR="00A53F87" w:rsidRDefault="00A53F87" w:rsidP="00A53F87">
            <w:pPr>
              <w:pStyle w:val="Tablenormal0"/>
              <w:numPr>
                <w:ilvl w:val="0"/>
                <w:numId w:val="35"/>
              </w:numPr>
            </w:pPr>
            <w:r>
              <w:t>a safe oxygen range;</w:t>
            </w:r>
          </w:p>
          <w:p w14:paraId="53A795F5" w14:textId="77777777" w:rsidR="00A53F87" w:rsidRDefault="001A4540" w:rsidP="00A53F87">
            <w:pPr>
              <w:pStyle w:val="Tablenormal0"/>
              <w:numPr>
                <w:ilvl w:val="0"/>
                <w:numId w:val="35"/>
              </w:numPr>
            </w:pPr>
            <w:r>
              <w:t>airborne contaminants that may cause impairment, loss of consciousness or asphyxiation reduced to below the relevant exposure standards; a</w:t>
            </w:r>
            <w:r w:rsidR="00A53F87">
              <w:t>nd</w:t>
            </w:r>
          </w:p>
          <w:p w14:paraId="5F30B570" w14:textId="77777777" w:rsidR="001A4540" w:rsidRDefault="001A4540" w:rsidP="00A53F87">
            <w:pPr>
              <w:pStyle w:val="Tablenormal0"/>
              <w:numPr>
                <w:ilvl w:val="0"/>
                <w:numId w:val="35"/>
              </w:numPr>
            </w:pPr>
            <w:r>
              <w:t>a concentration of flammable airborne contaminant below 5% LEL</w:t>
            </w:r>
          </w:p>
        </w:tc>
        <w:tc>
          <w:tcPr>
            <w:tcW w:w="674" w:type="pct"/>
          </w:tcPr>
          <w:p w14:paraId="6AAD76EE" w14:textId="77777777" w:rsidR="001A4540" w:rsidRPr="00565D8C" w:rsidRDefault="001A4540" w:rsidP="00D52057">
            <w:pPr>
              <w:pStyle w:val="Tablenormal0"/>
            </w:pPr>
          </w:p>
        </w:tc>
        <w:tc>
          <w:tcPr>
            <w:tcW w:w="2418" w:type="pct"/>
          </w:tcPr>
          <w:p w14:paraId="1BB88239" w14:textId="77777777" w:rsidR="001A4540" w:rsidRPr="00565D8C" w:rsidRDefault="001A4540" w:rsidP="00D52057">
            <w:pPr>
              <w:pStyle w:val="Tablenormal0"/>
            </w:pPr>
          </w:p>
        </w:tc>
      </w:tr>
      <w:tr w:rsidR="001A4540" w:rsidRPr="00565D8C" w14:paraId="755B0E89" w14:textId="77777777" w:rsidTr="00FD067F">
        <w:trPr>
          <w:cantSplit/>
          <w:trHeight w:val="488"/>
        </w:trPr>
        <w:tc>
          <w:tcPr>
            <w:tcW w:w="322" w:type="pct"/>
          </w:tcPr>
          <w:p w14:paraId="13CBC9C2" w14:textId="77777777" w:rsidR="001A4540" w:rsidRDefault="001A4540" w:rsidP="00D52057">
            <w:pPr>
              <w:pStyle w:val="Tablenormal0"/>
              <w:rPr>
                <w:color w:val="000080"/>
              </w:rPr>
            </w:pPr>
            <w:r>
              <w:rPr>
                <w:color w:val="000080"/>
              </w:rPr>
              <w:lastRenderedPageBreak/>
              <w:t>2.6</w:t>
            </w:r>
          </w:p>
        </w:tc>
        <w:tc>
          <w:tcPr>
            <w:tcW w:w="1586" w:type="pct"/>
          </w:tcPr>
          <w:p w14:paraId="0C07C57C" w14:textId="77777777" w:rsidR="001F6731" w:rsidRDefault="001A4540" w:rsidP="00A53F87">
            <w:pPr>
              <w:pStyle w:val="Tablenormal0"/>
            </w:pPr>
            <w:r>
              <w:t>Where flammable airborne contaminants are present in the atmosphere of a confined space, the foll</w:t>
            </w:r>
            <w:r w:rsidR="001F6731">
              <w:t>owing requirements shall apply:</w:t>
            </w:r>
          </w:p>
          <w:p w14:paraId="212FEDC1" w14:textId="77777777" w:rsidR="001F6731" w:rsidRDefault="001A4540" w:rsidP="001F6731">
            <w:pPr>
              <w:pStyle w:val="Tablenormal0"/>
              <w:numPr>
                <w:ilvl w:val="0"/>
                <w:numId w:val="36"/>
              </w:numPr>
            </w:pPr>
            <w:r>
              <w:t xml:space="preserve">Except in case of emergency response, entry shall not be permitted where the concentration of flammable airborne contaminants in the atmosphere is 5% LEL or greater, or where the oxygen concentration of the atmosphere exceeds 23.5%. </w:t>
            </w:r>
          </w:p>
          <w:p w14:paraId="46C0D86F" w14:textId="77777777" w:rsidR="001F6731" w:rsidRDefault="001A4540" w:rsidP="001F6731">
            <w:pPr>
              <w:pStyle w:val="Tablenormal0"/>
              <w:numPr>
                <w:ilvl w:val="0"/>
                <w:numId w:val="36"/>
              </w:numPr>
            </w:pPr>
            <w:r>
              <w:t>Where persons have entered or are conducting tasks in a confined space and the concentration of flammable airborne contaminant in the atmosphere of the confined space has been found to be greater than 5% LEL and less than 10% LEL, the persons shall be removed unless continuous monitoring with a suitably calibrated explosive (flammable) atmospheric substance detector is used in the confined space at all t</w:t>
            </w:r>
            <w:r w:rsidR="001F6731">
              <w:t>imes while persons are present.</w:t>
            </w:r>
          </w:p>
          <w:p w14:paraId="6F3BF390" w14:textId="77777777" w:rsidR="001A4540" w:rsidRDefault="001A4540" w:rsidP="001F6731">
            <w:pPr>
              <w:pStyle w:val="Tablenormal0"/>
              <w:numPr>
                <w:ilvl w:val="0"/>
                <w:numId w:val="36"/>
              </w:numPr>
            </w:pPr>
            <w:r>
              <w:t>Where the concentration of flammable airborne contaminant in the atmosphere of a confined space has been found to be 10% LEL or greater, no persons shall remain in the confined space.</w:t>
            </w:r>
          </w:p>
        </w:tc>
        <w:tc>
          <w:tcPr>
            <w:tcW w:w="674" w:type="pct"/>
          </w:tcPr>
          <w:p w14:paraId="69FBC1F6" w14:textId="77777777" w:rsidR="001A4540" w:rsidRPr="00565D8C" w:rsidRDefault="001A4540" w:rsidP="00D52057">
            <w:pPr>
              <w:pStyle w:val="Tablenormal0"/>
            </w:pPr>
          </w:p>
        </w:tc>
        <w:tc>
          <w:tcPr>
            <w:tcW w:w="2418" w:type="pct"/>
          </w:tcPr>
          <w:p w14:paraId="7A4CF4DF" w14:textId="77777777" w:rsidR="001A4540" w:rsidRPr="00565D8C" w:rsidRDefault="001A4540" w:rsidP="00D52057">
            <w:pPr>
              <w:pStyle w:val="Tablenormal0"/>
            </w:pPr>
          </w:p>
        </w:tc>
      </w:tr>
      <w:tr w:rsidR="001A4540" w:rsidRPr="00565D8C" w14:paraId="352D13B5" w14:textId="77777777" w:rsidTr="00FD067F">
        <w:trPr>
          <w:cantSplit/>
          <w:trHeight w:val="488"/>
        </w:trPr>
        <w:tc>
          <w:tcPr>
            <w:tcW w:w="322" w:type="pct"/>
          </w:tcPr>
          <w:p w14:paraId="4149A3F7" w14:textId="77777777" w:rsidR="001A4540" w:rsidRDefault="001A4540" w:rsidP="00D52057">
            <w:pPr>
              <w:pStyle w:val="Tablenormal0"/>
              <w:rPr>
                <w:color w:val="000080"/>
              </w:rPr>
            </w:pPr>
            <w:r>
              <w:rPr>
                <w:color w:val="000080"/>
              </w:rPr>
              <w:t>2.7</w:t>
            </w:r>
          </w:p>
        </w:tc>
        <w:tc>
          <w:tcPr>
            <w:tcW w:w="1586" w:type="pct"/>
          </w:tcPr>
          <w:p w14:paraId="412420DC" w14:textId="77777777" w:rsidR="001A4540" w:rsidRDefault="001A4540" w:rsidP="002C7EBC">
            <w:pPr>
              <w:pStyle w:val="Tablenormal0"/>
            </w:pPr>
            <w:r>
              <w:t>Where the hierarchy of risk control measures cannot provide a concentration of oxygen in the atmosphere greater than 19.5% or the airborne contaminants that may cause impairment, loss of consciousness or asphyxiation cannot be reduced to below the relevant exposure standards, no persons shall enter the confined space unless they are equipped with supplied-air respiratory protection and where appropriate, personal protective equipment.</w:t>
            </w:r>
          </w:p>
        </w:tc>
        <w:tc>
          <w:tcPr>
            <w:tcW w:w="674" w:type="pct"/>
          </w:tcPr>
          <w:p w14:paraId="220D6181" w14:textId="77777777" w:rsidR="001A4540" w:rsidRPr="00565D8C" w:rsidRDefault="001A4540" w:rsidP="00D52057">
            <w:pPr>
              <w:pStyle w:val="Tablenormal0"/>
            </w:pPr>
          </w:p>
        </w:tc>
        <w:tc>
          <w:tcPr>
            <w:tcW w:w="2418" w:type="pct"/>
          </w:tcPr>
          <w:p w14:paraId="76625393" w14:textId="77777777" w:rsidR="001A4540" w:rsidRPr="00565D8C" w:rsidRDefault="001A4540" w:rsidP="00D52057">
            <w:pPr>
              <w:pStyle w:val="Tablenormal0"/>
            </w:pPr>
          </w:p>
        </w:tc>
      </w:tr>
      <w:tr w:rsidR="001A4540" w:rsidRPr="00565D8C" w14:paraId="29D774CB" w14:textId="77777777" w:rsidTr="00FD067F">
        <w:trPr>
          <w:cantSplit/>
          <w:trHeight w:val="488"/>
        </w:trPr>
        <w:tc>
          <w:tcPr>
            <w:tcW w:w="322" w:type="pct"/>
          </w:tcPr>
          <w:p w14:paraId="1D59D069" w14:textId="77777777" w:rsidR="001A4540" w:rsidRDefault="001A4540" w:rsidP="00D52057">
            <w:pPr>
              <w:pStyle w:val="Tablenormal0"/>
              <w:rPr>
                <w:color w:val="000080"/>
              </w:rPr>
            </w:pPr>
            <w:r>
              <w:rPr>
                <w:color w:val="000080"/>
              </w:rPr>
              <w:lastRenderedPageBreak/>
              <w:t>2.8</w:t>
            </w:r>
          </w:p>
        </w:tc>
        <w:tc>
          <w:tcPr>
            <w:tcW w:w="1586" w:type="pct"/>
          </w:tcPr>
          <w:p w14:paraId="199D14D4" w14:textId="77777777" w:rsidR="002C7EBC" w:rsidRDefault="001A4540" w:rsidP="002C7EBC">
            <w:pPr>
              <w:pStyle w:val="Tablenormal0"/>
            </w:pPr>
            <w:r>
              <w:t>Equipmen</w:t>
            </w:r>
            <w:r w:rsidR="002C7EBC">
              <w:t>t shall be provided as follows:</w:t>
            </w:r>
          </w:p>
          <w:p w14:paraId="3A34C3D6" w14:textId="77777777" w:rsidR="008149B4" w:rsidRDefault="001A4540" w:rsidP="002C7EBC">
            <w:pPr>
              <w:pStyle w:val="Tablenormal0"/>
              <w:numPr>
                <w:ilvl w:val="0"/>
                <w:numId w:val="37"/>
              </w:numPr>
            </w:pPr>
            <w:r>
              <w:t>Suitable equipment shall be provided including, where necessary, equipment for –</w:t>
            </w:r>
            <w:r w:rsidR="008149B4">
              <w:t xml:space="preserve"> </w:t>
            </w:r>
          </w:p>
          <w:p w14:paraId="1549B2C6" w14:textId="77777777" w:rsidR="00B93C89" w:rsidRDefault="001A4540" w:rsidP="00B93C89">
            <w:pPr>
              <w:pStyle w:val="ListParagraph"/>
              <w:numPr>
                <w:ilvl w:val="0"/>
                <w:numId w:val="38"/>
              </w:numPr>
            </w:pPr>
            <w:r w:rsidRPr="008149B4">
              <w:t>personal protection;</w:t>
            </w:r>
          </w:p>
          <w:p w14:paraId="475C1B17" w14:textId="77777777" w:rsidR="00B93C89" w:rsidRDefault="00B93C89" w:rsidP="00B93C89">
            <w:pPr>
              <w:pStyle w:val="ListParagraph"/>
              <w:numPr>
                <w:ilvl w:val="0"/>
                <w:numId w:val="38"/>
              </w:numPr>
            </w:pPr>
            <w:r>
              <w:t>emergencies including rescue;</w:t>
            </w:r>
          </w:p>
          <w:p w14:paraId="33880DEF" w14:textId="77777777" w:rsidR="00B93C89" w:rsidRDefault="00B93C89" w:rsidP="00B93C89">
            <w:pPr>
              <w:pStyle w:val="ListParagraph"/>
              <w:numPr>
                <w:ilvl w:val="0"/>
                <w:numId w:val="38"/>
              </w:numPr>
            </w:pPr>
            <w:r>
              <w:t>first aid;</w:t>
            </w:r>
          </w:p>
          <w:p w14:paraId="058B55BB" w14:textId="77777777" w:rsidR="0031236F" w:rsidRDefault="001A4540" w:rsidP="00B93C89">
            <w:pPr>
              <w:pStyle w:val="ListParagraph"/>
              <w:numPr>
                <w:ilvl w:val="0"/>
                <w:numId w:val="38"/>
              </w:numPr>
            </w:pPr>
            <w:r w:rsidRPr="008149B4">
              <w:t>communicatio</w:t>
            </w:r>
            <w:r w:rsidR="0031236F">
              <w:t>n; and</w:t>
            </w:r>
          </w:p>
          <w:p w14:paraId="4D649A7C" w14:textId="77777777" w:rsidR="00945D2E" w:rsidRPr="008149B4" w:rsidRDefault="00945D2E" w:rsidP="00B93C89">
            <w:pPr>
              <w:pStyle w:val="ListParagraph"/>
              <w:numPr>
                <w:ilvl w:val="0"/>
                <w:numId w:val="38"/>
              </w:numPr>
            </w:pPr>
            <w:r w:rsidRPr="008149B4">
              <w:t>fire suppression.</w:t>
            </w:r>
          </w:p>
          <w:p w14:paraId="27875FB0" w14:textId="77777777" w:rsidR="001A4540" w:rsidRDefault="001A4540" w:rsidP="002C7EBC">
            <w:pPr>
              <w:pStyle w:val="Tablenormal0"/>
              <w:numPr>
                <w:ilvl w:val="0"/>
                <w:numId w:val="37"/>
              </w:numPr>
            </w:pPr>
            <w:r>
              <w:t>The equipment shall be appropriate to the tasks to be conducted in the confined space, and maintained in a proper working condition</w:t>
            </w:r>
          </w:p>
        </w:tc>
        <w:tc>
          <w:tcPr>
            <w:tcW w:w="674" w:type="pct"/>
          </w:tcPr>
          <w:p w14:paraId="0F6EB836" w14:textId="77777777" w:rsidR="001A4540" w:rsidRPr="00565D8C" w:rsidRDefault="001A4540" w:rsidP="00D52057">
            <w:pPr>
              <w:pStyle w:val="Tablenormal0"/>
            </w:pPr>
          </w:p>
        </w:tc>
        <w:tc>
          <w:tcPr>
            <w:tcW w:w="2418" w:type="pct"/>
          </w:tcPr>
          <w:p w14:paraId="259D97DB" w14:textId="77777777" w:rsidR="001A4540" w:rsidRPr="00565D8C" w:rsidRDefault="001A4540" w:rsidP="00D52057">
            <w:pPr>
              <w:pStyle w:val="Tablenormal0"/>
            </w:pPr>
          </w:p>
        </w:tc>
      </w:tr>
      <w:tr w:rsidR="001A4540" w:rsidRPr="00565D8C" w14:paraId="2A0ADE6C" w14:textId="77777777" w:rsidTr="00FD067F">
        <w:trPr>
          <w:cantSplit/>
          <w:trHeight w:val="488"/>
        </w:trPr>
        <w:tc>
          <w:tcPr>
            <w:tcW w:w="322" w:type="pct"/>
          </w:tcPr>
          <w:p w14:paraId="49A8471E" w14:textId="77777777" w:rsidR="001A4540" w:rsidRDefault="001A4540" w:rsidP="00D52057">
            <w:pPr>
              <w:pStyle w:val="Tablenormal0"/>
              <w:rPr>
                <w:color w:val="000080"/>
              </w:rPr>
            </w:pPr>
            <w:r>
              <w:rPr>
                <w:color w:val="000080"/>
              </w:rPr>
              <w:t>2.9</w:t>
            </w:r>
          </w:p>
        </w:tc>
        <w:tc>
          <w:tcPr>
            <w:tcW w:w="1586" w:type="pct"/>
          </w:tcPr>
          <w:p w14:paraId="57BD2CA7" w14:textId="77777777" w:rsidR="001A4540" w:rsidRDefault="001A4540" w:rsidP="00AF3266">
            <w:pPr>
              <w:pStyle w:val="Tablenormal0"/>
            </w:pPr>
            <w:r>
              <w:t>Prior to a written authority being cancelled, all tasks in the confined space shall cease and all persons shall be removed from the confined space.</w:t>
            </w:r>
          </w:p>
        </w:tc>
        <w:tc>
          <w:tcPr>
            <w:tcW w:w="674" w:type="pct"/>
          </w:tcPr>
          <w:p w14:paraId="0F66EBF2" w14:textId="77777777" w:rsidR="001A4540" w:rsidRPr="00565D8C" w:rsidRDefault="001A4540" w:rsidP="00D52057">
            <w:pPr>
              <w:pStyle w:val="Tablenormal0"/>
            </w:pPr>
          </w:p>
        </w:tc>
        <w:tc>
          <w:tcPr>
            <w:tcW w:w="2418" w:type="pct"/>
          </w:tcPr>
          <w:p w14:paraId="7A765E41" w14:textId="77777777" w:rsidR="001A4540" w:rsidRPr="00565D8C" w:rsidRDefault="001A4540" w:rsidP="00D52057">
            <w:pPr>
              <w:pStyle w:val="Tablenormal0"/>
            </w:pPr>
          </w:p>
        </w:tc>
      </w:tr>
    </w:tbl>
    <w:p w14:paraId="7E03A3FB" w14:textId="77777777" w:rsidR="00A415A4" w:rsidRDefault="005C5D84" w:rsidP="005C5D84">
      <w:pPr>
        <w:pStyle w:val="Heading1"/>
      </w:pPr>
      <w:r>
        <w:t>3</w:t>
      </w:r>
      <w:r>
        <w:tab/>
        <w:t>Risk management</w:t>
      </w:r>
    </w:p>
    <w:tbl>
      <w:tblPr>
        <w:tblStyle w:val="TableGrid"/>
        <w:tblW w:w="5000" w:type="pct"/>
        <w:tblLook w:val="0000" w:firstRow="0" w:lastRow="0" w:firstColumn="0" w:lastColumn="0" w:noHBand="0" w:noVBand="0"/>
      </w:tblPr>
      <w:tblGrid>
        <w:gridCol w:w="930"/>
        <w:gridCol w:w="4583"/>
        <w:gridCol w:w="1948"/>
        <w:gridCol w:w="6988"/>
      </w:tblGrid>
      <w:tr w:rsidR="003F75F0" w:rsidRPr="00565D8C" w14:paraId="270159E4" w14:textId="77777777" w:rsidTr="00056602">
        <w:trPr>
          <w:cantSplit/>
          <w:trHeight w:val="322"/>
          <w:tblHeader/>
        </w:trPr>
        <w:tc>
          <w:tcPr>
            <w:tcW w:w="322" w:type="pct"/>
            <w:shd w:val="clear" w:color="auto" w:fill="F2F2F2" w:themeFill="background1" w:themeFillShade="F2"/>
          </w:tcPr>
          <w:p w14:paraId="6CB6D0B6" w14:textId="77777777" w:rsidR="003F75F0" w:rsidRPr="00565D8C" w:rsidRDefault="003F75F0" w:rsidP="00D52057">
            <w:pPr>
              <w:pStyle w:val="Tablenormal0"/>
              <w:rPr>
                <w:b/>
                <w:color w:val="000080"/>
              </w:rPr>
            </w:pPr>
            <w:r w:rsidRPr="00565D8C">
              <w:rPr>
                <w:b/>
                <w:color w:val="000080"/>
              </w:rPr>
              <w:t>Point</w:t>
            </w:r>
          </w:p>
        </w:tc>
        <w:tc>
          <w:tcPr>
            <w:tcW w:w="1586" w:type="pct"/>
            <w:shd w:val="clear" w:color="auto" w:fill="F2F2F2" w:themeFill="background1" w:themeFillShade="F2"/>
          </w:tcPr>
          <w:p w14:paraId="3C71D220" w14:textId="77777777" w:rsidR="003F75F0" w:rsidRPr="00565D8C" w:rsidRDefault="003F75F0" w:rsidP="00D52057">
            <w:pPr>
              <w:pStyle w:val="Tablenormal0"/>
              <w:rPr>
                <w:b/>
                <w:color w:val="000080"/>
              </w:rPr>
            </w:pPr>
            <w:r w:rsidRPr="00565D8C">
              <w:rPr>
                <w:b/>
                <w:color w:val="000080"/>
              </w:rPr>
              <w:t>Standard</w:t>
            </w:r>
          </w:p>
        </w:tc>
        <w:tc>
          <w:tcPr>
            <w:tcW w:w="674" w:type="pct"/>
            <w:shd w:val="clear" w:color="auto" w:fill="F2F2F2" w:themeFill="background1" w:themeFillShade="F2"/>
          </w:tcPr>
          <w:p w14:paraId="7596E0C6" w14:textId="77777777" w:rsidR="003F75F0" w:rsidRPr="00565D8C" w:rsidRDefault="003F75F0" w:rsidP="00D52057">
            <w:pPr>
              <w:pStyle w:val="Tablenormal0"/>
              <w:rPr>
                <w:b/>
                <w:color w:val="000080"/>
              </w:rPr>
            </w:pPr>
            <w:r>
              <w:rPr>
                <w:b/>
                <w:color w:val="000080"/>
              </w:rPr>
              <w:t>Standard m</w:t>
            </w:r>
            <w:r w:rsidRPr="00565D8C">
              <w:rPr>
                <w:b/>
                <w:color w:val="000080"/>
              </w:rPr>
              <w:t>et</w:t>
            </w:r>
          </w:p>
        </w:tc>
        <w:tc>
          <w:tcPr>
            <w:tcW w:w="2418" w:type="pct"/>
            <w:shd w:val="clear" w:color="auto" w:fill="F2F2F2" w:themeFill="background1" w:themeFillShade="F2"/>
          </w:tcPr>
          <w:p w14:paraId="383A1340" w14:textId="77777777" w:rsidR="003F75F0" w:rsidRPr="00565D8C" w:rsidRDefault="003F75F0" w:rsidP="00D52057">
            <w:pPr>
              <w:pStyle w:val="Tablenormal0"/>
              <w:rPr>
                <w:b/>
                <w:color w:val="000080"/>
              </w:rPr>
            </w:pPr>
            <w:r w:rsidRPr="00565D8C">
              <w:rPr>
                <w:b/>
                <w:color w:val="000080"/>
              </w:rPr>
              <w:t>Comments</w:t>
            </w:r>
          </w:p>
        </w:tc>
      </w:tr>
      <w:tr w:rsidR="003F75F0" w:rsidRPr="00565D8C" w14:paraId="64CCF5D0" w14:textId="77777777" w:rsidTr="00056602">
        <w:trPr>
          <w:cantSplit/>
          <w:trHeight w:val="488"/>
        </w:trPr>
        <w:tc>
          <w:tcPr>
            <w:tcW w:w="322" w:type="pct"/>
          </w:tcPr>
          <w:p w14:paraId="79E238EC" w14:textId="77777777" w:rsidR="003F75F0" w:rsidRDefault="003F75F0" w:rsidP="00D52057">
            <w:pPr>
              <w:pStyle w:val="Tablenormal0"/>
              <w:rPr>
                <w:color w:val="000080"/>
              </w:rPr>
            </w:pPr>
            <w:r>
              <w:rPr>
                <w:color w:val="000080"/>
              </w:rPr>
              <w:t>3.1</w:t>
            </w:r>
          </w:p>
        </w:tc>
        <w:tc>
          <w:tcPr>
            <w:tcW w:w="1586" w:type="pct"/>
          </w:tcPr>
          <w:p w14:paraId="76AE9F4E" w14:textId="77777777" w:rsidR="003F75F0" w:rsidRDefault="003F75F0" w:rsidP="00056602">
            <w:pPr>
              <w:pStyle w:val="Tablenormal0"/>
            </w:pPr>
            <w:r>
              <w:t>A methodology is established for the management of risks associated with confined spaces.</w:t>
            </w:r>
          </w:p>
        </w:tc>
        <w:tc>
          <w:tcPr>
            <w:tcW w:w="674" w:type="pct"/>
          </w:tcPr>
          <w:p w14:paraId="242270FE" w14:textId="77777777" w:rsidR="003F75F0" w:rsidRPr="00565D8C" w:rsidRDefault="003F75F0" w:rsidP="00D52057">
            <w:pPr>
              <w:pStyle w:val="Tablenormal0"/>
            </w:pPr>
          </w:p>
        </w:tc>
        <w:tc>
          <w:tcPr>
            <w:tcW w:w="2418" w:type="pct"/>
          </w:tcPr>
          <w:p w14:paraId="58558B47" w14:textId="77777777" w:rsidR="003F75F0" w:rsidRPr="00565D8C" w:rsidRDefault="003F75F0" w:rsidP="00D52057">
            <w:pPr>
              <w:pStyle w:val="Tablenormal0"/>
            </w:pPr>
          </w:p>
        </w:tc>
      </w:tr>
      <w:tr w:rsidR="003F75F0" w:rsidRPr="00565D8C" w14:paraId="546B067F" w14:textId="77777777" w:rsidTr="00056602">
        <w:trPr>
          <w:cantSplit/>
          <w:trHeight w:val="488"/>
        </w:trPr>
        <w:tc>
          <w:tcPr>
            <w:tcW w:w="322" w:type="pct"/>
          </w:tcPr>
          <w:p w14:paraId="25FF104B" w14:textId="77777777" w:rsidR="003F75F0" w:rsidRDefault="003F75F0" w:rsidP="00D52057">
            <w:pPr>
              <w:pStyle w:val="Tablenormal0"/>
              <w:rPr>
                <w:color w:val="000080"/>
              </w:rPr>
            </w:pPr>
            <w:r>
              <w:rPr>
                <w:color w:val="000080"/>
              </w:rPr>
              <w:t>3.2</w:t>
            </w:r>
          </w:p>
        </w:tc>
        <w:tc>
          <w:tcPr>
            <w:tcW w:w="1586" w:type="pct"/>
          </w:tcPr>
          <w:p w14:paraId="4520DE05" w14:textId="77777777" w:rsidR="003F75F0" w:rsidRDefault="003F75F0" w:rsidP="00C62C47">
            <w:pPr>
              <w:pStyle w:val="Tablenormal0"/>
            </w:pPr>
            <w:r>
              <w:t>Consultation takes place between the stakeholders, or their representatives, when implementing the risk management systems for the confined spaces in accordance with the relevant provisions of the MSIA.</w:t>
            </w:r>
          </w:p>
        </w:tc>
        <w:tc>
          <w:tcPr>
            <w:tcW w:w="674" w:type="pct"/>
          </w:tcPr>
          <w:p w14:paraId="18F23851" w14:textId="77777777" w:rsidR="003F75F0" w:rsidRPr="00565D8C" w:rsidRDefault="003F75F0" w:rsidP="00D52057">
            <w:pPr>
              <w:pStyle w:val="Tablenormal0"/>
            </w:pPr>
          </w:p>
        </w:tc>
        <w:tc>
          <w:tcPr>
            <w:tcW w:w="2418" w:type="pct"/>
          </w:tcPr>
          <w:p w14:paraId="1F672E61" w14:textId="77777777" w:rsidR="003F75F0" w:rsidRPr="00565D8C" w:rsidRDefault="003F75F0" w:rsidP="00D52057">
            <w:pPr>
              <w:pStyle w:val="Tablenormal0"/>
            </w:pPr>
          </w:p>
        </w:tc>
      </w:tr>
      <w:tr w:rsidR="003F75F0" w:rsidRPr="00565D8C" w14:paraId="6589A84C" w14:textId="77777777" w:rsidTr="00056602">
        <w:trPr>
          <w:cantSplit/>
          <w:trHeight w:val="488"/>
        </w:trPr>
        <w:tc>
          <w:tcPr>
            <w:tcW w:w="322" w:type="pct"/>
          </w:tcPr>
          <w:p w14:paraId="28E50603" w14:textId="77777777" w:rsidR="003F75F0" w:rsidRDefault="003F75F0" w:rsidP="00D52057">
            <w:pPr>
              <w:pStyle w:val="Tablenormal0"/>
              <w:rPr>
                <w:color w:val="000080"/>
              </w:rPr>
            </w:pPr>
            <w:r>
              <w:rPr>
                <w:color w:val="000080"/>
              </w:rPr>
              <w:lastRenderedPageBreak/>
              <w:t>3.3</w:t>
            </w:r>
          </w:p>
        </w:tc>
        <w:tc>
          <w:tcPr>
            <w:tcW w:w="1586" w:type="pct"/>
          </w:tcPr>
          <w:p w14:paraId="75246CB1" w14:textId="77777777" w:rsidR="00C64C83" w:rsidRDefault="003F75F0" w:rsidP="00C64C83">
            <w:pPr>
              <w:pStyle w:val="Tablenormal0"/>
            </w:pPr>
            <w:r>
              <w:t xml:space="preserve">A risk assessment shall be conducted by a competent person or persons before conducting any tasks associated with the confined space. The assessment shall be documented and take into account at least the following: </w:t>
            </w:r>
          </w:p>
          <w:p w14:paraId="116AA6B5" w14:textId="77777777" w:rsidR="00C64C83" w:rsidRDefault="003F75F0" w:rsidP="00C64C83">
            <w:pPr>
              <w:pStyle w:val="Tablenormal0"/>
              <w:numPr>
                <w:ilvl w:val="0"/>
                <w:numId w:val="39"/>
              </w:numPr>
            </w:pPr>
            <w:r>
              <w:t>The</w:t>
            </w:r>
            <w:r w:rsidR="00C64C83">
              <w:t xml:space="preserve"> hazards of the confined space.</w:t>
            </w:r>
          </w:p>
          <w:p w14:paraId="438A3084" w14:textId="77777777" w:rsidR="00C64C83" w:rsidRDefault="003F75F0" w:rsidP="00C64C83">
            <w:pPr>
              <w:pStyle w:val="Tablenormal0"/>
              <w:numPr>
                <w:ilvl w:val="0"/>
                <w:numId w:val="39"/>
              </w:numPr>
            </w:pPr>
            <w:r>
              <w:t>The tasks required to be conducted, including the ne</w:t>
            </w:r>
            <w:r w:rsidR="00C64C83">
              <w:t>ed to enter the confined space.</w:t>
            </w:r>
          </w:p>
          <w:p w14:paraId="27740BBA" w14:textId="77777777" w:rsidR="00C64C83" w:rsidRDefault="003F75F0" w:rsidP="00C64C83">
            <w:pPr>
              <w:pStyle w:val="Tablenormal0"/>
              <w:numPr>
                <w:ilvl w:val="0"/>
                <w:numId w:val="39"/>
              </w:numPr>
            </w:pPr>
            <w:r>
              <w:t>The range of methods by wh</w:t>
            </w:r>
            <w:r w:rsidR="00C64C83">
              <w:t>ich the tasks can be conducted.</w:t>
            </w:r>
          </w:p>
          <w:p w14:paraId="29F294E5" w14:textId="77777777" w:rsidR="00C64C83" w:rsidRDefault="003F75F0" w:rsidP="00C64C83">
            <w:pPr>
              <w:pStyle w:val="Tablenormal0"/>
              <w:numPr>
                <w:ilvl w:val="0"/>
                <w:numId w:val="39"/>
              </w:numPr>
            </w:pPr>
            <w:r>
              <w:t>The hazards involved and associated risks involved with the actual method selected and</w:t>
            </w:r>
            <w:r w:rsidR="00C64C83">
              <w:t xml:space="preserve"> equipment proposed to be used.</w:t>
            </w:r>
          </w:p>
          <w:p w14:paraId="5A46E31E" w14:textId="77777777" w:rsidR="00C64C83" w:rsidRDefault="00C64C83" w:rsidP="00C64C83">
            <w:pPr>
              <w:pStyle w:val="Tablenormal0"/>
              <w:numPr>
                <w:ilvl w:val="0"/>
                <w:numId w:val="39"/>
              </w:numPr>
            </w:pPr>
            <w:r>
              <w:t>Emergency response procedures.</w:t>
            </w:r>
          </w:p>
          <w:p w14:paraId="6C83CC23" w14:textId="77777777" w:rsidR="003F75F0" w:rsidRDefault="003F75F0" w:rsidP="00C64C83">
            <w:pPr>
              <w:pStyle w:val="Tablenormal0"/>
              <w:numPr>
                <w:ilvl w:val="0"/>
                <w:numId w:val="39"/>
              </w:numPr>
            </w:pPr>
            <w:r>
              <w:t>The competence of the persons to conduct the tasks.</w:t>
            </w:r>
          </w:p>
        </w:tc>
        <w:tc>
          <w:tcPr>
            <w:tcW w:w="674" w:type="pct"/>
          </w:tcPr>
          <w:p w14:paraId="173B5D8B" w14:textId="77777777" w:rsidR="003F75F0" w:rsidRPr="00565D8C" w:rsidRDefault="003F75F0" w:rsidP="00D52057">
            <w:pPr>
              <w:pStyle w:val="Tablenormal0"/>
            </w:pPr>
          </w:p>
        </w:tc>
        <w:tc>
          <w:tcPr>
            <w:tcW w:w="2418" w:type="pct"/>
          </w:tcPr>
          <w:p w14:paraId="5B8056AA" w14:textId="77777777" w:rsidR="003F75F0" w:rsidRPr="00565D8C" w:rsidRDefault="003F75F0" w:rsidP="00D52057">
            <w:pPr>
              <w:pStyle w:val="Tablenormal0"/>
            </w:pPr>
          </w:p>
        </w:tc>
      </w:tr>
      <w:tr w:rsidR="003F75F0" w:rsidRPr="00565D8C" w14:paraId="64AB4C4C" w14:textId="77777777" w:rsidTr="00056602">
        <w:trPr>
          <w:cantSplit/>
          <w:trHeight w:val="488"/>
        </w:trPr>
        <w:tc>
          <w:tcPr>
            <w:tcW w:w="322" w:type="pct"/>
          </w:tcPr>
          <w:p w14:paraId="6D0A6511" w14:textId="77777777" w:rsidR="003F75F0" w:rsidRDefault="003F75F0" w:rsidP="00D52057">
            <w:pPr>
              <w:pStyle w:val="Tablenormal0"/>
              <w:rPr>
                <w:color w:val="000080"/>
              </w:rPr>
            </w:pPr>
            <w:r>
              <w:rPr>
                <w:color w:val="000080"/>
              </w:rPr>
              <w:t>3.4</w:t>
            </w:r>
          </w:p>
        </w:tc>
        <w:tc>
          <w:tcPr>
            <w:tcW w:w="1586" w:type="pct"/>
          </w:tcPr>
          <w:p w14:paraId="42D427E0" w14:textId="77777777" w:rsidR="003F75F0" w:rsidRDefault="003F75F0" w:rsidP="002312E4">
            <w:pPr>
              <w:pStyle w:val="Tablenormal0"/>
            </w:pPr>
            <w:r>
              <w:t>The risk assessment shall be reviewed and revised whenever there is evidence to indicate that there is a change in the risk.</w:t>
            </w:r>
          </w:p>
        </w:tc>
        <w:tc>
          <w:tcPr>
            <w:tcW w:w="674" w:type="pct"/>
          </w:tcPr>
          <w:p w14:paraId="600A8906" w14:textId="77777777" w:rsidR="003F75F0" w:rsidRPr="00565D8C" w:rsidRDefault="003F75F0" w:rsidP="00D52057">
            <w:pPr>
              <w:pStyle w:val="Tablenormal0"/>
            </w:pPr>
          </w:p>
        </w:tc>
        <w:tc>
          <w:tcPr>
            <w:tcW w:w="2418" w:type="pct"/>
          </w:tcPr>
          <w:p w14:paraId="0F37A46B" w14:textId="77777777" w:rsidR="003F75F0" w:rsidRPr="00565D8C" w:rsidRDefault="003F75F0" w:rsidP="00D52057">
            <w:pPr>
              <w:pStyle w:val="Tablenormal0"/>
            </w:pPr>
          </w:p>
        </w:tc>
      </w:tr>
      <w:tr w:rsidR="003F75F0" w:rsidRPr="00565D8C" w14:paraId="4EE29673" w14:textId="77777777" w:rsidTr="00056602">
        <w:trPr>
          <w:cantSplit/>
          <w:trHeight w:val="488"/>
        </w:trPr>
        <w:tc>
          <w:tcPr>
            <w:tcW w:w="322" w:type="pct"/>
          </w:tcPr>
          <w:p w14:paraId="1A9AFEFD" w14:textId="77777777" w:rsidR="003F75F0" w:rsidRDefault="003F75F0" w:rsidP="00D52057">
            <w:pPr>
              <w:pStyle w:val="Tablenormal0"/>
              <w:rPr>
                <w:color w:val="000080"/>
              </w:rPr>
            </w:pPr>
            <w:r>
              <w:rPr>
                <w:color w:val="000080"/>
              </w:rPr>
              <w:t>3.5</w:t>
            </w:r>
          </w:p>
        </w:tc>
        <w:tc>
          <w:tcPr>
            <w:tcW w:w="1586" w:type="pct"/>
          </w:tcPr>
          <w:p w14:paraId="473501A8" w14:textId="77777777" w:rsidR="003F75F0" w:rsidRDefault="003F75F0" w:rsidP="002312E4">
            <w:pPr>
              <w:pStyle w:val="Tablenormal0"/>
            </w:pPr>
            <w:r>
              <w:t>When multiple tasks are being conducted in and around the confined space, a safe system of work is implemented to ensure each task is safe to carry out.</w:t>
            </w:r>
          </w:p>
        </w:tc>
        <w:tc>
          <w:tcPr>
            <w:tcW w:w="674" w:type="pct"/>
          </w:tcPr>
          <w:p w14:paraId="578D6A63" w14:textId="77777777" w:rsidR="003F75F0" w:rsidRPr="00565D8C" w:rsidRDefault="003F75F0" w:rsidP="00D52057">
            <w:pPr>
              <w:pStyle w:val="Tablenormal0"/>
            </w:pPr>
          </w:p>
        </w:tc>
        <w:tc>
          <w:tcPr>
            <w:tcW w:w="2418" w:type="pct"/>
          </w:tcPr>
          <w:p w14:paraId="6737486E" w14:textId="77777777" w:rsidR="003F75F0" w:rsidRPr="00565D8C" w:rsidRDefault="003F75F0" w:rsidP="00D52057">
            <w:pPr>
              <w:pStyle w:val="Tablenormal0"/>
            </w:pPr>
          </w:p>
        </w:tc>
      </w:tr>
      <w:tr w:rsidR="003F75F0" w:rsidRPr="00565D8C" w14:paraId="532EF402" w14:textId="77777777" w:rsidTr="00056602">
        <w:trPr>
          <w:cantSplit/>
          <w:trHeight w:val="488"/>
        </w:trPr>
        <w:tc>
          <w:tcPr>
            <w:tcW w:w="322" w:type="pct"/>
          </w:tcPr>
          <w:p w14:paraId="65B2A898" w14:textId="77777777" w:rsidR="003F75F0" w:rsidRDefault="003F75F0" w:rsidP="00D52057">
            <w:pPr>
              <w:pStyle w:val="Tablenormal0"/>
              <w:rPr>
                <w:color w:val="000080"/>
              </w:rPr>
            </w:pPr>
            <w:r>
              <w:rPr>
                <w:color w:val="000080"/>
              </w:rPr>
              <w:t>3.6</w:t>
            </w:r>
          </w:p>
        </w:tc>
        <w:tc>
          <w:tcPr>
            <w:tcW w:w="1586" w:type="pct"/>
          </w:tcPr>
          <w:p w14:paraId="11FAC1DD" w14:textId="77777777" w:rsidR="003F75F0" w:rsidRDefault="003F75F0" w:rsidP="002312E4">
            <w:pPr>
              <w:pStyle w:val="Tablenormal0"/>
            </w:pPr>
            <w:r>
              <w:t>If a risk assessment identifies a risk to health or safety arising from the tasks to be conducted in a confined space, the risk shall be eliminated or, if this is not possible, minimized by the implementation of appropriate risk control measures. The risk control measures shall be documented.</w:t>
            </w:r>
          </w:p>
        </w:tc>
        <w:tc>
          <w:tcPr>
            <w:tcW w:w="674" w:type="pct"/>
          </w:tcPr>
          <w:p w14:paraId="5BEBEB50" w14:textId="77777777" w:rsidR="003F75F0" w:rsidRPr="00565D8C" w:rsidRDefault="003F75F0" w:rsidP="00D52057">
            <w:pPr>
              <w:pStyle w:val="Tablenormal0"/>
            </w:pPr>
          </w:p>
        </w:tc>
        <w:tc>
          <w:tcPr>
            <w:tcW w:w="2418" w:type="pct"/>
          </w:tcPr>
          <w:p w14:paraId="04AF4677" w14:textId="77777777" w:rsidR="003F75F0" w:rsidRPr="00565D8C" w:rsidRDefault="003F75F0" w:rsidP="00D52057">
            <w:pPr>
              <w:pStyle w:val="Tablenormal0"/>
            </w:pPr>
          </w:p>
        </w:tc>
      </w:tr>
    </w:tbl>
    <w:p w14:paraId="4B53D415" w14:textId="77777777" w:rsidR="001A4540" w:rsidRDefault="00A5570C" w:rsidP="00A5570C">
      <w:pPr>
        <w:pStyle w:val="Heading1"/>
      </w:pPr>
      <w:r>
        <w:lastRenderedPageBreak/>
        <w:t>4</w:t>
      </w:r>
      <w:r>
        <w:tab/>
        <w:t>Design, manufacture, supply and modification considerations</w:t>
      </w:r>
    </w:p>
    <w:tbl>
      <w:tblPr>
        <w:tblStyle w:val="TableGrid"/>
        <w:tblW w:w="5000" w:type="pct"/>
        <w:tblLook w:val="0000" w:firstRow="0" w:lastRow="0" w:firstColumn="0" w:lastColumn="0" w:noHBand="0" w:noVBand="0"/>
      </w:tblPr>
      <w:tblGrid>
        <w:gridCol w:w="930"/>
        <w:gridCol w:w="4583"/>
        <w:gridCol w:w="1948"/>
        <w:gridCol w:w="6988"/>
      </w:tblGrid>
      <w:tr w:rsidR="00A2095B" w:rsidRPr="00565D8C" w14:paraId="0CFA415E" w14:textId="77777777" w:rsidTr="00F64676">
        <w:trPr>
          <w:cantSplit/>
          <w:trHeight w:val="322"/>
          <w:tblHeader/>
        </w:trPr>
        <w:tc>
          <w:tcPr>
            <w:tcW w:w="322" w:type="pct"/>
            <w:shd w:val="clear" w:color="auto" w:fill="F2F2F2" w:themeFill="background1" w:themeFillShade="F2"/>
          </w:tcPr>
          <w:p w14:paraId="69FBFDEC" w14:textId="77777777" w:rsidR="00A2095B" w:rsidRPr="00565D8C" w:rsidRDefault="00A2095B" w:rsidP="00D52057">
            <w:pPr>
              <w:pStyle w:val="Tablenormal0"/>
              <w:rPr>
                <w:b/>
                <w:color w:val="000080"/>
              </w:rPr>
            </w:pPr>
            <w:r w:rsidRPr="00565D8C">
              <w:rPr>
                <w:b/>
                <w:color w:val="000080"/>
              </w:rPr>
              <w:t>Point</w:t>
            </w:r>
          </w:p>
        </w:tc>
        <w:tc>
          <w:tcPr>
            <w:tcW w:w="1586" w:type="pct"/>
            <w:shd w:val="clear" w:color="auto" w:fill="F2F2F2" w:themeFill="background1" w:themeFillShade="F2"/>
          </w:tcPr>
          <w:p w14:paraId="03492DD7" w14:textId="77777777" w:rsidR="00A2095B" w:rsidRPr="00565D8C" w:rsidRDefault="00A2095B" w:rsidP="00D52057">
            <w:pPr>
              <w:pStyle w:val="Tablenormal0"/>
              <w:rPr>
                <w:b/>
                <w:color w:val="000080"/>
              </w:rPr>
            </w:pPr>
            <w:r w:rsidRPr="00565D8C">
              <w:rPr>
                <w:b/>
                <w:color w:val="000080"/>
              </w:rPr>
              <w:t>Standard</w:t>
            </w:r>
          </w:p>
        </w:tc>
        <w:tc>
          <w:tcPr>
            <w:tcW w:w="674" w:type="pct"/>
            <w:shd w:val="clear" w:color="auto" w:fill="F2F2F2" w:themeFill="background1" w:themeFillShade="F2"/>
          </w:tcPr>
          <w:p w14:paraId="2970422F" w14:textId="77777777" w:rsidR="00A2095B" w:rsidRPr="00565D8C" w:rsidRDefault="00A2095B" w:rsidP="00D52057">
            <w:pPr>
              <w:pStyle w:val="Tablenormal0"/>
              <w:rPr>
                <w:b/>
                <w:color w:val="000080"/>
              </w:rPr>
            </w:pPr>
            <w:r>
              <w:rPr>
                <w:b/>
                <w:color w:val="000080"/>
              </w:rPr>
              <w:t>Standard m</w:t>
            </w:r>
            <w:r w:rsidRPr="00565D8C">
              <w:rPr>
                <w:b/>
                <w:color w:val="000080"/>
              </w:rPr>
              <w:t>et</w:t>
            </w:r>
          </w:p>
        </w:tc>
        <w:tc>
          <w:tcPr>
            <w:tcW w:w="2418" w:type="pct"/>
            <w:shd w:val="clear" w:color="auto" w:fill="F2F2F2" w:themeFill="background1" w:themeFillShade="F2"/>
          </w:tcPr>
          <w:p w14:paraId="52A7DDF1" w14:textId="77777777" w:rsidR="00A2095B" w:rsidRPr="00565D8C" w:rsidRDefault="00A2095B" w:rsidP="00D52057">
            <w:pPr>
              <w:pStyle w:val="Tablenormal0"/>
              <w:rPr>
                <w:b/>
                <w:color w:val="000080"/>
              </w:rPr>
            </w:pPr>
            <w:r w:rsidRPr="00565D8C">
              <w:rPr>
                <w:b/>
                <w:color w:val="000080"/>
              </w:rPr>
              <w:t>Comments</w:t>
            </w:r>
          </w:p>
        </w:tc>
      </w:tr>
      <w:tr w:rsidR="00A2095B" w:rsidRPr="00565D8C" w14:paraId="5A093B26" w14:textId="77777777" w:rsidTr="00F64676">
        <w:trPr>
          <w:cantSplit/>
          <w:trHeight w:val="488"/>
        </w:trPr>
        <w:tc>
          <w:tcPr>
            <w:tcW w:w="322" w:type="pct"/>
          </w:tcPr>
          <w:p w14:paraId="77AA6C51" w14:textId="77777777" w:rsidR="00A2095B" w:rsidRDefault="00A2095B" w:rsidP="00D52057">
            <w:pPr>
              <w:pStyle w:val="Tablenormal0"/>
              <w:rPr>
                <w:color w:val="000080"/>
              </w:rPr>
            </w:pPr>
            <w:r>
              <w:rPr>
                <w:color w:val="000080"/>
              </w:rPr>
              <w:t>4.1</w:t>
            </w:r>
          </w:p>
        </w:tc>
        <w:tc>
          <w:tcPr>
            <w:tcW w:w="1586" w:type="pct"/>
          </w:tcPr>
          <w:p w14:paraId="600A4FF7" w14:textId="77777777" w:rsidR="00A2095B" w:rsidRDefault="00A2095B" w:rsidP="00F64676">
            <w:pPr>
              <w:pStyle w:val="Tablenormal0"/>
            </w:pPr>
            <w:r>
              <w:t>The need to conduct work inside a confined space is minimised.</w:t>
            </w:r>
          </w:p>
        </w:tc>
        <w:tc>
          <w:tcPr>
            <w:tcW w:w="674" w:type="pct"/>
          </w:tcPr>
          <w:p w14:paraId="06AAB058" w14:textId="77777777" w:rsidR="00A2095B" w:rsidRPr="00565D8C" w:rsidRDefault="00A2095B" w:rsidP="00D52057">
            <w:pPr>
              <w:pStyle w:val="Tablenormal0"/>
            </w:pPr>
          </w:p>
        </w:tc>
        <w:tc>
          <w:tcPr>
            <w:tcW w:w="2418" w:type="pct"/>
          </w:tcPr>
          <w:p w14:paraId="5D3BCBE0" w14:textId="77777777" w:rsidR="00A2095B" w:rsidRPr="00565D8C" w:rsidRDefault="00A2095B" w:rsidP="00D52057">
            <w:pPr>
              <w:pStyle w:val="Tablenormal0"/>
            </w:pPr>
          </w:p>
        </w:tc>
      </w:tr>
      <w:tr w:rsidR="00A2095B" w:rsidRPr="00565D8C" w14:paraId="05817EC8" w14:textId="77777777" w:rsidTr="00F64676">
        <w:trPr>
          <w:cantSplit/>
          <w:trHeight w:val="488"/>
        </w:trPr>
        <w:tc>
          <w:tcPr>
            <w:tcW w:w="322" w:type="pct"/>
          </w:tcPr>
          <w:p w14:paraId="2F2EF46D" w14:textId="77777777" w:rsidR="00A2095B" w:rsidRDefault="00A2095B" w:rsidP="00D52057">
            <w:pPr>
              <w:pStyle w:val="Tablenormal0"/>
              <w:rPr>
                <w:color w:val="000080"/>
              </w:rPr>
            </w:pPr>
            <w:r>
              <w:rPr>
                <w:color w:val="000080"/>
              </w:rPr>
              <w:t>4.2</w:t>
            </w:r>
          </w:p>
        </w:tc>
        <w:tc>
          <w:tcPr>
            <w:tcW w:w="1586" w:type="pct"/>
          </w:tcPr>
          <w:p w14:paraId="3763C859" w14:textId="77777777" w:rsidR="00A2095B" w:rsidRDefault="00A2095B" w:rsidP="00F64676">
            <w:pPr>
              <w:pStyle w:val="Tablenormal0"/>
            </w:pPr>
            <w:r>
              <w:t>The risks associated with conducting work in a confined space when required are minimised through design and manufacture.</w:t>
            </w:r>
          </w:p>
        </w:tc>
        <w:tc>
          <w:tcPr>
            <w:tcW w:w="674" w:type="pct"/>
          </w:tcPr>
          <w:p w14:paraId="0A09D481" w14:textId="77777777" w:rsidR="00A2095B" w:rsidRPr="00565D8C" w:rsidRDefault="00A2095B" w:rsidP="00D52057">
            <w:pPr>
              <w:pStyle w:val="Tablenormal0"/>
            </w:pPr>
          </w:p>
        </w:tc>
        <w:tc>
          <w:tcPr>
            <w:tcW w:w="2418" w:type="pct"/>
          </w:tcPr>
          <w:p w14:paraId="362A07FE" w14:textId="77777777" w:rsidR="00A2095B" w:rsidRPr="00565D8C" w:rsidRDefault="00A2095B" w:rsidP="00D52057">
            <w:pPr>
              <w:pStyle w:val="Tablenormal0"/>
            </w:pPr>
          </w:p>
        </w:tc>
      </w:tr>
      <w:tr w:rsidR="00A2095B" w:rsidRPr="00565D8C" w14:paraId="7A7463C8" w14:textId="77777777" w:rsidTr="00F64676">
        <w:trPr>
          <w:cantSplit/>
          <w:trHeight w:val="488"/>
        </w:trPr>
        <w:tc>
          <w:tcPr>
            <w:tcW w:w="322" w:type="pct"/>
          </w:tcPr>
          <w:p w14:paraId="53E97A86" w14:textId="77777777" w:rsidR="00A2095B" w:rsidRDefault="00A2095B" w:rsidP="00D52057">
            <w:pPr>
              <w:pStyle w:val="Tablenormal0"/>
              <w:rPr>
                <w:color w:val="000080"/>
              </w:rPr>
            </w:pPr>
            <w:r>
              <w:rPr>
                <w:color w:val="000080"/>
              </w:rPr>
              <w:t>4.3</w:t>
            </w:r>
          </w:p>
        </w:tc>
        <w:tc>
          <w:tcPr>
            <w:tcW w:w="1586" w:type="pct"/>
          </w:tcPr>
          <w:p w14:paraId="3F0E458A" w14:textId="77777777" w:rsidR="00A2095B" w:rsidRDefault="00A2095B" w:rsidP="00F64676">
            <w:pPr>
              <w:pStyle w:val="Tablenormal0"/>
            </w:pPr>
            <w:r>
              <w:t>Openings for entry to and exit from a confined space are of adequate size to permit rescue of all persons who may enter the confined space.</w:t>
            </w:r>
          </w:p>
        </w:tc>
        <w:tc>
          <w:tcPr>
            <w:tcW w:w="674" w:type="pct"/>
          </w:tcPr>
          <w:p w14:paraId="218E9753" w14:textId="77777777" w:rsidR="00A2095B" w:rsidRPr="00565D8C" w:rsidRDefault="00A2095B" w:rsidP="00D52057">
            <w:pPr>
              <w:pStyle w:val="Tablenormal0"/>
            </w:pPr>
          </w:p>
        </w:tc>
        <w:tc>
          <w:tcPr>
            <w:tcW w:w="2418" w:type="pct"/>
          </w:tcPr>
          <w:p w14:paraId="76501CF9" w14:textId="77777777" w:rsidR="00A2095B" w:rsidRPr="00565D8C" w:rsidRDefault="00A2095B" w:rsidP="00D52057">
            <w:pPr>
              <w:pStyle w:val="Tablenormal0"/>
            </w:pPr>
          </w:p>
        </w:tc>
      </w:tr>
      <w:tr w:rsidR="00A2095B" w:rsidRPr="00565D8C" w14:paraId="0FEBDC19" w14:textId="77777777" w:rsidTr="00F64676">
        <w:trPr>
          <w:cantSplit/>
          <w:trHeight w:val="488"/>
        </w:trPr>
        <w:tc>
          <w:tcPr>
            <w:tcW w:w="322" w:type="pct"/>
          </w:tcPr>
          <w:p w14:paraId="5E24DC13" w14:textId="77777777" w:rsidR="00A2095B" w:rsidRDefault="00A2095B" w:rsidP="00D52057">
            <w:pPr>
              <w:pStyle w:val="Tablenormal0"/>
              <w:rPr>
                <w:color w:val="000080"/>
              </w:rPr>
            </w:pPr>
            <w:r>
              <w:rPr>
                <w:color w:val="000080"/>
              </w:rPr>
              <w:t>4.4</w:t>
            </w:r>
          </w:p>
        </w:tc>
        <w:tc>
          <w:tcPr>
            <w:tcW w:w="1586" w:type="pct"/>
          </w:tcPr>
          <w:p w14:paraId="471BBED0" w14:textId="77777777" w:rsidR="00A2095B" w:rsidRDefault="00A2095B" w:rsidP="00F64676">
            <w:pPr>
              <w:pStyle w:val="Tablenormal0"/>
            </w:pPr>
            <w:r>
              <w:t>Any modification made to a confined space does not detrimentally affect the safe means of entry to, exit from, or the tasks being carried out in the confined space.</w:t>
            </w:r>
          </w:p>
        </w:tc>
        <w:tc>
          <w:tcPr>
            <w:tcW w:w="674" w:type="pct"/>
          </w:tcPr>
          <w:p w14:paraId="0E73F959" w14:textId="77777777" w:rsidR="00A2095B" w:rsidRPr="00565D8C" w:rsidRDefault="00A2095B" w:rsidP="00D52057">
            <w:pPr>
              <w:pStyle w:val="Tablenormal0"/>
            </w:pPr>
          </w:p>
        </w:tc>
        <w:tc>
          <w:tcPr>
            <w:tcW w:w="2418" w:type="pct"/>
          </w:tcPr>
          <w:p w14:paraId="12317F43" w14:textId="77777777" w:rsidR="00A2095B" w:rsidRPr="00565D8C" w:rsidRDefault="00A2095B" w:rsidP="00D52057">
            <w:pPr>
              <w:pStyle w:val="Tablenormal0"/>
            </w:pPr>
          </w:p>
        </w:tc>
      </w:tr>
      <w:tr w:rsidR="00A2095B" w:rsidRPr="00565D8C" w14:paraId="61B81B63" w14:textId="77777777" w:rsidTr="00F64676">
        <w:trPr>
          <w:cantSplit/>
          <w:trHeight w:val="488"/>
        </w:trPr>
        <w:tc>
          <w:tcPr>
            <w:tcW w:w="322" w:type="pct"/>
          </w:tcPr>
          <w:p w14:paraId="66676BBE" w14:textId="77777777" w:rsidR="00A2095B" w:rsidRDefault="00A2095B" w:rsidP="00D52057">
            <w:pPr>
              <w:pStyle w:val="Tablenormal0"/>
              <w:rPr>
                <w:color w:val="000080"/>
              </w:rPr>
            </w:pPr>
            <w:r>
              <w:rPr>
                <w:color w:val="000080"/>
              </w:rPr>
              <w:t>4.5</w:t>
            </w:r>
          </w:p>
        </w:tc>
        <w:tc>
          <w:tcPr>
            <w:tcW w:w="1586" w:type="pct"/>
          </w:tcPr>
          <w:p w14:paraId="289D4EDD" w14:textId="77777777" w:rsidR="00A2095B" w:rsidRDefault="00A2095B" w:rsidP="00F64676">
            <w:pPr>
              <w:pStyle w:val="Tablenormal0"/>
            </w:pPr>
            <w:r>
              <w:t>Any confined spaces that are reclassified as a non-confined space have undergone sufficient changes in structure or usage to eliminate (without the need for risk control measures) all possible sources of inherent hazards that define a confined space.</w:t>
            </w:r>
          </w:p>
        </w:tc>
        <w:tc>
          <w:tcPr>
            <w:tcW w:w="674" w:type="pct"/>
          </w:tcPr>
          <w:p w14:paraId="35E72AE9" w14:textId="77777777" w:rsidR="00A2095B" w:rsidRPr="00565D8C" w:rsidRDefault="00A2095B" w:rsidP="00D52057">
            <w:pPr>
              <w:pStyle w:val="Tablenormal0"/>
            </w:pPr>
          </w:p>
        </w:tc>
        <w:tc>
          <w:tcPr>
            <w:tcW w:w="2418" w:type="pct"/>
          </w:tcPr>
          <w:p w14:paraId="0065F016" w14:textId="77777777" w:rsidR="00A2095B" w:rsidRPr="00565D8C" w:rsidRDefault="00A2095B" w:rsidP="00D52057">
            <w:pPr>
              <w:pStyle w:val="Tablenormal0"/>
            </w:pPr>
          </w:p>
        </w:tc>
      </w:tr>
    </w:tbl>
    <w:p w14:paraId="6EFF82ED" w14:textId="77777777" w:rsidR="001A4540" w:rsidRDefault="00687190" w:rsidP="00687190">
      <w:pPr>
        <w:pStyle w:val="Heading1"/>
      </w:pPr>
      <w:r>
        <w:t>5</w:t>
      </w:r>
      <w:r>
        <w:tab/>
        <w:t>Training and competency</w:t>
      </w:r>
    </w:p>
    <w:tbl>
      <w:tblPr>
        <w:tblStyle w:val="TableGrid"/>
        <w:tblW w:w="5000" w:type="pct"/>
        <w:tblLook w:val="0000" w:firstRow="0" w:lastRow="0" w:firstColumn="0" w:lastColumn="0" w:noHBand="0" w:noVBand="0"/>
      </w:tblPr>
      <w:tblGrid>
        <w:gridCol w:w="930"/>
        <w:gridCol w:w="4583"/>
        <w:gridCol w:w="1948"/>
        <w:gridCol w:w="6988"/>
      </w:tblGrid>
      <w:tr w:rsidR="00B41DB6" w:rsidRPr="00565D8C" w14:paraId="48EDD89F" w14:textId="77777777" w:rsidTr="00572D42">
        <w:trPr>
          <w:cantSplit/>
          <w:trHeight w:val="322"/>
          <w:tblHeader/>
        </w:trPr>
        <w:tc>
          <w:tcPr>
            <w:tcW w:w="322" w:type="pct"/>
            <w:shd w:val="clear" w:color="auto" w:fill="F2F2F2" w:themeFill="background1" w:themeFillShade="F2"/>
          </w:tcPr>
          <w:p w14:paraId="5B4E9DC8" w14:textId="77777777" w:rsidR="00B41DB6" w:rsidRPr="00565D8C" w:rsidRDefault="00B41DB6" w:rsidP="00D52057">
            <w:pPr>
              <w:pStyle w:val="Tablenormal0"/>
              <w:rPr>
                <w:b/>
                <w:color w:val="000080"/>
              </w:rPr>
            </w:pPr>
            <w:r w:rsidRPr="00565D8C">
              <w:rPr>
                <w:b/>
                <w:color w:val="000080"/>
              </w:rPr>
              <w:t>Point</w:t>
            </w:r>
          </w:p>
        </w:tc>
        <w:tc>
          <w:tcPr>
            <w:tcW w:w="1586" w:type="pct"/>
            <w:shd w:val="clear" w:color="auto" w:fill="F2F2F2" w:themeFill="background1" w:themeFillShade="F2"/>
          </w:tcPr>
          <w:p w14:paraId="7207D9D8" w14:textId="77777777" w:rsidR="00B41DB6" w:rsidRPr="00565D8C" w:rsidRDefault="00B41DB6" w:rsidP="00D52057">
            <w:pPr>
              <w:pStyle w:val="Tablenormal0"/>
              <w:rPr>
                <w:b/>
                <w:color w:val="000080"/>
              </w:rPr>
            </w:pPr>
            <w:r w:rsidRPr="00565D8C">
              <w:rPr>
                <w:b/>
                <w:color w:val="000080"/>
              </w:rPr>
              <w:t>Standard</w:t>
            </w:r>
          </w:p>
        </w:tc>
        <w:tc>
          <w:tcPr>
            <w:tcW w:w="674" w:type="pct"/>
            <w:shd w:val="clear" w:color="auto" w:fill="F2F2F2" w:themeFill="background1" w:themeFillShade="F2"/>
          </w:tcPr>
          <w:p w14:paraId="323D2BA8" w14:textId="77777777" w:rsidR="00B41DB6" w:rsidRPr="00565D8C" w:rsidRDefault="00B41DB6" w:rsidP="00D52057">
            <w:pPr>
              <w:pStyle w:val="Tablenormal0"/>
              <w:rPr>
                <w:b/>
                <w:color w:val="000080"/>
              </w:rPr>
            </w:pPr>
            <w:r>
              <w:rPr>
                <w:b/>
                <w:color w:val="000080"/>
              </w:rPr>
              <w:t>Standard m</w:t>
            </w:r>
            <w:r w:rsidRPr="00565D8C">
              <w:rPr>
                <w:b/>
                <w:color w:val="000080"/>
              </w:rPr>
              <w:t>et</w:t>
            </w:r>
          </w:p>
        </w:tc>
        <w:tc>
          <w:tcPr>
            <w:tcW w:w="2418" w:type="pct"/>
            <w:shd w:val="clear" w:color="auto" w:fill="F2F2F2" w:themeFill="background1" w:themeFillShade="F2"/>
          </w:tcPr>
          <w:p w14:paraId="6FC08CFE" w14:textId="77777777" w:rsidR="00B41DB6" w:rsidRPr="00565D8C" w:rsidRDefault="00B41DB6" w:rsidP="00D52057">
            <w:pPr>
              <w:pStyle w:val="Tablenormal0"/>
              <w:rPr>
                <w:b/>
                <w:color w:val="000080"/>
              </w:rPr>
            </w:pPr>
            <w:r w:rsidRPr="00565D8C">
              <w:rPr>
                <w:b/>
                <w:color w:val="000080"/>
              </w:rPr>
              <w:t>Comments</w:t>
            </w:r>
          </w:p>
        </w:tc>
      </w:tr>
      <w:tr w:rsidR="00B41DB6" w:rsidRPr="00565D8C" w14:paraId="6B9BE67B" w14:textId="77777777" w:rsidTr="00572D42">
        <w:trPr>
          <w:cantSplit/>
          <w:trHeight w:val="488"/>
        </w:trPr>
        <w:tc>
          <w:tcPr>
            <w:tcW w:w="322" w:type="pct"/>
          </w:tcPr>
          <w:p w14:paraId="679C1869" w14:textId="77777777" w:rsidR="00B41DB6" w:rsidRDefault="00B41DB6" w:rsidP="00D52057">
            <w:pPr>
              <w:pStyle w:val="Tablenormal0"/>
              <w:rPr>
                <w:color w:val="000080"/>
              </w:rPr>
            </w:pPr>
            <w:r>
              <w:rPr>
                <w:color w:val="000080"/>
              </w:rPr>
              <w:t>5.1</w:t>
            </w:r>
          </w:p>
        </w:tc>
        <w:tc>
          <w:tcPr>
            <w:tcW w:w="1586" w:type="pct"/>
          </w:tcPr>
          <w:p w14:paraId="6A616D60" w14:textId="77777777" w:rsidR="00B41DB6" w:rsidRDefault="00B41DB6" w:rsidP="00AB7D23">
            <w:pPr>
              <w:pStyle w:val="Tablenormal0"/>
            </w:pPr>
            <w:r>
              <w:t>All persons with tasks associated with a confined space have been trained and assessed as competent to conduct those associated tasks in regards to a confined space</w:t>
            </w:r>
          </w:p>
        </w:tc>
        <w:tc>
          <w:tcPr>
            <w:tcW w:w="674" w:type="pct"/>
          </w:tcPr>
          <w:p w14:paraId="36ADF808" w14:textId="77777777" w:rsidR="00B41DB6" w:rsidRPr="00565D8C" w:rsidRDefault="00B41DB6" w:rsidP="00D52057">
            <w:pPr>
              <w:pStyle w:val="Tablenormal0"/>
            </w:pPr>
          </w:p>
        </w:tc>
        <w:tc>
          <w:tcPr>
            <w:tcW w:w="2418" w:type="pct"/>
          </w:tcPr>
          <w:p w14:paraId="4B1123EC" w14:textId="77777777" w:rsidR="00B41DB6" w:rsidRPr="00565D8C" w:rsidRDefault="00B41DB6" w:rsidP="00D52057">
            <w:pPr>
              <w:pStyle w:val="Tablenormal0"/>
            </w:pPr>
          </w:p>
        </w:tc>
      </w:tr>
      <w:tr w:rsidR="00B41DB6" w:rsidRPr="00565D8C" w14:paraId="764A2D9A" w14:textId="77777777" w:rsidTr="00572D42">
        <w:trPr>
          <w:cantSplit/>
          <w:trHeight w:val="488"/>
        </w:trPr>
        <w:tc>
          <w:tcPr>
            <w:tcW w:w="322" w:type="pct"/>
          </w:tcPr>
          <w:p w14:paraId="56E5DD0A" w14:textId="77777777" w:rsidR="00B41DB6" w:rsidRDefault="00B41DB6" w:rsidP="00D52057">
            <w:pPr>
              <w:pStyle w:val="Tablenormal0"/>
              <w:rPr>
                <w:color w:val="000080"/>
              </w:rPr>
            </w:pPr>
            <w:r>
              <w:rPr>
                <w:color w:val="000080"/>
              </w:rPr>
              <w:t>5.2</w:t>
            </w:r>
          </w:p>
        </w:tc>
        <w:tc>
          <w:tcPr>
            <w:tcW w:w="1586" w:type="pct"/>
          </w:tcPr>
          <w:p w14:paraId="4B5DB940" w14:textId="77777777" w:rsidR="00B41DB6" w:rsidRDefault="00B41DB6" w:rsidP="00AB7D23">
            <w:pPr>
              <w:pStyle w:val="Tablenormal0"/>
            </w:pPr>
            <w:r>
              <w:t>Persons are reassessed at appropriate intervals to maintain their competency to conduct tasks associated with confined spaces.</w:t>
            </w:r>
          </w:p>
        </w:tc>
        <w:tc>
          <w:tcPr>
            <w:tcW w:w="674" w:type="pct"/>
          </w:tcPr>
          <w:p w14:paraId="6598A650" w14:textId="77777777" w:rsidR="00B41DB6" w:rsidRPr="00565D8C" w:rsidRDefault="00B41DB6" w:rsidP="00D52057">
            <w:pPr>
              <w:pStyle w:val="Tablenormal0"/>
            </w:pPr>
          </w:p>
        </w:tc>
        <w:tc>
          <w:tcPr>
            <w:tcW w:w="2418" w:type="pct"/>
          </w:tcPr>
          <w:p w14:paraId="2C3131A4" w14:textId="77777777" w:rsidR="00B41DB6" w:rsidRPr="00565D8C" w:rsidRDefault="00B41DB6" w:rsidP="00D52057">
            <w:pPr>
              <w:pStyle w:val="Tablenormal0"/>
            </w:pPr>
          </w:p>
        </w:tc>
      </w:tr>
      <w:tr w:rsidR="00B41DB6" w:rsidRPr="00565D8C" w14:paraId="69B23D43" w14:textId="77777777" w:rsidTr="00572D42">
        <w:trPr>
          <w:cantSplit/>
          <w:trHeight w:val="488"/>
        </w:trPr>
        <w:tc>
          <w:tcPr>
            <w:tcW w:w="322" w:type="pct"/>
          </w:tcPr>
          <w:p w14:paraId="16C462A9" w14:textId="77777777" w:rsidR="00B41DB6" w:rsidRDefault="00B41DB6" w:rsidP="00D52057">
            <w:pPr>
              <w:pStyle w:val="Tablenormal0"/>
              <w:rPr>
                <w:color w:val="000080"/>
              </w:rPr>
            </w:pPr>
            <w:r>
              <w:rPr>
                <w:color w:val="000080"/>
              </w:rPr>
              <w:t>5.3</w:t>
            </w:r>
          </w:p>
        </w:tc>
        <w:tc>
          <w:tcPr>
            <w:tcW w:w="1586" w:type="pct"/>
          </w:tcPr>
          <w:p w14:paraId="0709AEA9" w14:textId="77777777" w:rsidR="00B41DB6" w:rsidRDefault="00B41DB6" w:rsidP="00AB7D23">
            <w:pPr>
              <w:pStyle w:val="Tablenormal0"/>
            </w:pPr>
            <w:r>
              <w:t>Records are maintained of confined space training and competencies achieved.</w:t>
            </w:r>
          </w:p>
        </w:tc>
        <w:tc>
          <w:tcPr>
            <w:tcW w:w="674" w:type="pct"/>
          </w:tcPr>
          <w:p w14:paraId="197E44E4" w14:textId="77777777" w:rsidR="00B41DB6" w:rsidRPr="00565D8C" w:rsidRDefault="00B41DB6" w:rsidP="00D52057">
            <w:pPr>
              <w:pStyle w:val="Tablenormal0"/>
            </w:pPr>
          </w:p>
        </w:tc>
        <w:tc>
          <w:tcPr>
            <w:tcW w:w="2418" w:type="pct"/>
          </w:tcPr>
          <w:p w14:paraId="1C259AD9" w14:textId="77777777" w:rsidR="00B41DB6" w:rsidRPr="00565D8C" w:rsidRDefault="00B41DB6" w:rsidP="00D52057">
            <w:pPr>
              <w:pStyle w:val="Tablenormal0"/>
            </w:pPr>
          </w:p>
        </w:tc>
      </w:tr>
    </w:tbl>
    <w:p w14:paraId="75E529A6" w14:textId="77777777" w:rsidR="007E3BE7" w:rsidRPr="007E3BE7" w:rsidRDefault="006E04CE" w:rsidP="006E04CE">
      <w:pPr>
        <w:pStyle w:val="Heading1"/>
      </w:pPr>
      <w:r>
        <w:lastRenderedPageBreak/>
        <w:t>6</w:t>
      </w:r>
      <w:r>
        <w:tab/>
        <w:t>Isolation and atmospheric requirements</w:t>
      </w:r>
    </w:p>
    <w:tbl>
      <w:tblPr>
        <w:tblStyle w:val="TableGrid"/>
        <w:tblW w:w="5000" w:type="pct"/>
        <w:tblLook w:val="0000" w:firstRow="0" w:lastRow="0" w:firstColumn="0" w:lastColumn="0" w:noHBand="0" w:noVBand="0"/>
      </w:tblPr>
      <w:tblGrid>
        <w:gridCol w:w="930"/>
        <w:gridCol w:w="4583"/>
        <w:gridCol w:w="1948"/>
        <w:gridCol w:w="6988"/>
      </w:tblGrid>
      <w:tr w:rsidR="002E7120" w:rsidRPr="00565D8C" w14:paraId="48082B35" w14:textId="77777777" w:rsidTr="005A20FB">
        <w:trPr>
          <w:cantSplit/>
          <w:trHeight w:val="322"/>
          <w:tblHeader/>
        </w:trPr>
        <w:tc>
          <w:tcPr>
            <w:tcW w:w="322" w:type="pct"/>
            <w:shd w:val="clear" w:color="auto" w:fill="F2F2F2" w:themeFill="background1" w:themeFillShade="F2"/>
          </w:tcPr>
          <w:p w14:paraId="737BBE3C" w14:textId="77777777" w:rsidR="002E7120" w:rsidRPr="00565D8C" w:rsidRDefault="002E7120" w:rsidP="00D52057">
            <w:pPr>
              <w:pStyle w:val="Tablenormal0"/>
              <w:rPr>
                <w:b/>
                <w:color w:val="000080"/>
              </w:rPr>
            </w:pPr>
            <w:r w:rsidRPr="00565D8C">
              <w:rPr>
                <w:b/>
                <w:color w:val="000080"/>
              </w:rPr>
              <w:t>Point</w:t>
            </w:r>
          </w:p>
        </w:tc>
        <w:tc>
          <w:tcPr>
            <w:tcW w:w="1586" w:type="pct"/>
            <w:shd w:val="clear" w:color="auto" w:fill="F2F2F2" w:themeFill="background1" w:themeFillShade="F2"/>
          </w:tcPr>
          <w:p w14:paraId="6D3E0A97" w14:textId="77777777" w:rsidR="002E7120" w:rsidRPr="00565D8C" w:rsidRDefault="002E7120" w:rsidP="00D52057">
            <w:pPr>
              <w:pStyle w:val="Tablenormal0"/>
              <w:rPr>
                <w:b/>
                <w:color w:val="000080"/>
              </w:rPr>
            </w:pPr>
            <w:r w:rsidRPr="00565D8C">
              <w:rPr>
                <w:b/>
                <w:color w:val="000080"/>
              </w:rPr>
              <w:t>Standard</w:t>
            </w:r>
          </w:p>
        </w:tc>
        <w:tc>
          <w:tcPr>
            <w:tcW w:w="674" w:type="pct"/>
            <w:shd w:val="clear" w:color="auto" w:fill="F2F2F2" w:themeFill="background1" w:themeFillShade="F2"/>
          </w:tcPr>
          <w:p w14:paraId="00293A5F" w14:textId="77777777" w:rsidR="002E7120" w:rsidRPr="00565D8C" w:rsidRDefault="002E7120" w:rsidP="00D52057">
            <w:pPr>
              <w:pStyle w:val="Tablenormal0"/>
              <w:rPr>
                <w:b/>
                <w:color w:val="000080"/>
              </w:rPr>
            </w:pPr>
            <w:r>
              <w:rPr>
                <w:b/>
                <w:color w:val="000080"/>
              </w:rPr>
              <w:t>Standard m</w:t>
            </w:r>
            <w:r w:rsidRPr="00565D8C">
              <w:rPr>
                <w:b/>
                <w:color w:val="000080"/>
              </w:rPr>
              <w:t>et</w:t>
            </w:r>
          </w:p>
        </w:tc>
        <w:tc>
          <w:tcPr>
            <w:tcW w:w="2418" w:type="pct"/>
            <w:shd w:val="clear" w:color="auto" w:fill="F2F2F2" w:themeFill="background1" w:themeFillShade="F2"/>
          </w:tcPr>
          <w:p w14:paraId="48B0F733" w14:textId="77777777" w:rsidR="002E7120" w:rsidRPr="00565D8C" w:rsidRDefault="002E7120" w:rsidP="00D52057">
            <w:pPr>
              <w:pStyle w:val="Tablenormal0"/>
              <w:rPr>
                <w:b/>
                <w:color w:val="000080"/>
              </w:rPr>
            </w:pPr>
            <w:r w:rsidRPr="00565D8C">
              <w:rPr>
                <w:b/>
                <w:color w:val="000080"/>
              </w:rPr>
              <w:t>Comments</w:t>
            </w:r>
          </w:p>
        </w:tc>
      </w:tr>
      <w:tr w:rsidR="002E7120" w:rsidRPr="00565D8C" w14:paraId="6E513740" w14:textId="77777777" w:rsidTr="005A20FB">
        <w:trPr>
          <w:cantSplit/>
          <w:trHeight w:val="488"/>
        </w:trPr>
        <w:tc>
          <w:tcPr>
            <w:tcW w:w="322" w:type="pct"/>
          </w:tcPr>
          <w:p w14:paraId="7C6E63A5" w14:textId="77777777" w:rsidR="002E7120" w:rsidRDefault="002E7120" w:rsidP="00D52057">
            <w:pPr>
              <w:pStyle w:val="Tablenormal0"/>
              <w:rPr>
                <w:color w:val="000080"/>
              </w:rPr>
            </w:pPr>
            <w:r>
              <w:rPr>
                <w:color w:val="000080"/>
              </w:rPr>
              <w:t>6.1</w:t>
            </w:r>
          </w:p>
        </w:tc>
        <w:tc>
          <w:tcPr>
            <w:tcW w:w="1586" w:type="pct"/>
          </w:tcPr>
          <w:p w14:paraId="31F1B784" w14:textId="77777777" w:rsidR="002E7C5B" w:rsidRDefault="002E7120" w:rsidP="002E7C5B">
            <w:pPr>
              <w:pStyle w:val="Tablenormal0"/>
            </w:pPr>
            <w:r>
              <w:t>Prior to any person entering a confined space, all potentially hazardous services, (including all process services) normally connected to that space shall, where it is possible to do so, be</w:t>
            </w:r>
            <w:r w:rsidR="002E7C5B">
              <w:t xml:space="preserve"> isolated in order to prevent –</w:t>
            </w:r>
          </w:p>
          <w:p w14:paraId="2119FF1F" w14:textId="77777777" w:rsidR="002E7C5B" w:rsidRDefault="002E7120" w:rsidP="002E7C5B">
            <w:pPr>
              <w:pStyle w:val="Tablenormal0"/>
              <w:numPr>
                <w:ilvl w:val="0"/>
                <w:numId w:val="40"/>
              </w:numPr>
            </w:pPr>
            <w:r>
              <w:t>The introduction of any materials, contaminants, agents or conditions harmful to persons oc</w:t>
            </w:r>
            <w:r w:rsidR="002E7C5B">
              <w:t>cupying the confined space; and</w:t>
            </w:r>
          </w:p>
          <w:p w14:paraId="7D5D1CA1" w14:textId="77777777" w:rsidR="002E7120" w:rsidRDefault="002E7120" w:rsidP="002E7C5B">
            <w:pPr>
              <w:pStyle w:val="Tablenormal0"/>
              <w:numPr>
                <w:ilvl w:val="0"/>
                <w:numId w:val="40"/>
              </w:numPr>
            </w:pPr>
            <w:r>
              <w:t>The activation or energizing in any way of equipment or services that could pose a risk to the health or safety of persons within the confined space.</w:t>
            </w:r>
          </w:p>
        </w:tc>
        <w:tc>
          <w:tcPr>
            <w:tcW w:w="674" w:type="pct"/>
          </w:tcPr>
          <w:p w14:paraId="78203A8E" w14:textId="77777777" w:rsidR="002E7120" w:rsidRPr="00565D8C" w:rsidRDefault="002E7120" w:rsidP="00D52057">
            <w:pPr>
              <w:pStyle w:val="Tablenormal0"/>
            </w:pPr>
          </w:p>
        </w:tc>
        <w:tc>
          <w:tcPr>
            <w:tcW w:w="2418" w:type="pct"/>
          </w:tcPr>
          <w:p w14:paraId="07735359" w14:textId="77777777" w:rsidR="002E7120" w:rsidRPr="00565D8C" w:rsidRDefault="002E7120" w:rsidP="00D52057">
            <w:pPr>
              <w:pStyle w:val="Tablenormal0"/>
            </w:pPr>
          </w:p>
        </w:tc>
      </w:tr>
      <w:tr w:rsidR="002E7120" w:rsidRPr="00565D8C" w14:paraId="2C6AA2AC" w14:textId="77777777" w:rsidTr="005A20FB">
        <w:trPr>
          <w:cantSplit/>
          <w:trHeight w:val="488"/>
        </w:trPr>
        <w:tc>
          <w:tcPr>
            <w:tcW w:w="322" w:type="pct"/>
          </w:tcPr>
          <w:p w14:paraId="3CC17BC0" w14:textId="77777777" w:rsidR="002E7120" w:rsidRDefault="002E7120" w:rsidP="00D52057">
            <w:pPr>
              <w:pStyle w:val="Tablenormal0"/>
              <w:rPr>
                <w:color w:val="000080"/>
              </w:rPr>
            </w:pPr>
            <w:r>
              <w:rPr>
                <w:color w:val="000080"/>
              </w:rPr>
              <w:t>6.2</w:t>
            </w:r>
          </w:p>
        </w:tc>
        <w:tc>
          <w:tcPr>
            <w:tcW w:w="1586" w:type="pct"/>
          </w:tcPr>
          <w:p w14:paraId="65B544FF" w14:textId="77777777" w:rsidR="002E7120" w:rsidRDefault="002E7120" w:rsidP="005A20FB">
            <w:pPr>
              <w:pStyle w:val="Tablenormal0"/>
            </w:pPr>
            <w:r>
              <w:t>Where necessary, the confined space shall be cleared of contaminants by use of a suitable purging agent. The purging agent or any gas used for ventilation purposes shall not be pure oxygen or a gas mixtures with an oxygen concentration greater than 21%.</w:t>
            </w:r>
          </w:p>
        </w:tc>
        <w:tc>
          <w:tcPr>
            <w:tcW w:w="674" w:type="pct"/>
          </w:tcPr>
          <w:p w14:paraId="7624D914" w14:textId="77777777" w:rsidR="002E7120" w:rsidRPr="00565D8C" w:rsidRDefault="002E7120" w:rsidP="00D52057">
            <w:pPr>
              <w:pStyle w:val="Tablenormal0"/>
            </w:pPr>
          </w:p>
        </w:tc>
        <w:tc>
          <w:tcPr>
            <w:tcW w:w="2418" w:type="pct"/>
          </w:tcPr>
          <w:p w14:paraId="7EA8CA6D" w14:textId="77777777" w:rsidR="002E7120" w:rsidRPr="00565D8C" w:rsidRDefault="002E7120" w:rsidP="00D52057">
            <w:pPr>
              <w:pStyle w:val="Tablenormal0"/>
            </w:pPr>
          </w:p>
        </w:tc>
      </w:tr>
      <w:tr w:rsidR="002E7120" w:rsidRPr="00565D8C" w14:paraId="1B73CDB2" w14:textId="77777777" w:rsidTr="005A20FB">
        <w:trPr>
          <w:cantSplit/>
          <w:trHeight w:val="488"/>
        </w:trPr>
        <w:tc>
          <w:tcPr>
            <w:tcW w:w="322" w:type="pct"/>
          </w:tcPr>
          <w:p w14:paraId="11EF69B1" w14:textId="77777777" w:rsidR="002E7120" w:rsidRDefault="002E7120" w:rsidP="00D52057">
            <w:pPr>
              <w:pStyle w:val="Tablenormal0"/>
              <w:rPr>
                <w:color w:val="000080"/>
              </w:rPr>
            </w:pPr>
            <w:r>
              <w:rPr>
                <w:color w:val="000080"/>
              </w:rPr>
              <w:t>6.3</w:t>
            </w:r>
          </w:p>
        </w:tc>
        <w:tc>
          <w:tcPr>
            <w:tcW w:w="1586" w:type="pct"/>
          </w:tcPr>
          <w:p w14:paraId="28B67089" w14:textId="77777777" w:rsidR="002E7120" w:rsidRDefault="002E7120" w:rsidP="005A20FB">
            <w:pPr>
              <w:pStyle w:val="Tablenormal0"/>
            </w:pPr>
            <w:r>
              <w:t>Ventilation of a confined space should be natural, forced or by mechanical means to establish and maintain a safe atmosphere. This ventilation should be continued throughout the period of occupancy.</w:t>
            </w:r>
          </w:p>
        </w:tc>
        <w:tc>
          <w:tcPr>
            <w:tcW w:w="674" w:type="pct"/>
          </w:tcPr>
          <w:p w14:paraId="7A080B50" w14:textId="77777777" w:rsidR="002E7120" w:rsidRPr="00565D8C" w:rsidRDefault="002E7120" w:rsidP="00D52057">
            <w:pPr>
              <w:pStyle w:val="Tablenormal0"/>
            </w:pPr>
          </w:p>
        </w:tc>
        <w:tc>
          <w:tcPr>
            <w:tcW w:w="2418" w:type="pct"/>
          </w:tcPr>
          <w:p w14:paraId="21A6EA36" w14:textId="77777777" w:rsidR="002E7120" w:rsidRPr="00565D8C" w:rsidRDefault="002E7120" w:rsidP="00D52057">
            <w:pPr>
              <w:pStyle w:val="Tablenormal0"/>
            </w:pPr>
          </w:p>
        </w:tc>
      </w:tr>
      <w:tr w:rsidR="002E7120" w:rsidRPr="00565D8C" w14:paraId="13B08B7A" w14:textId="77777777" w:rsidTr="005A20FB">
        <w:trPr>
          <w:cantSplit/>
          <w:trHeight w:val="488"/>
        </w:trPr>
        <w:tc>
          <w:tcPr>
            <w:tcW w:w="322" w:type="pct"/>
          </w:tcPr>
          <w:p w14:paraId="44A6E25B" w14:textId="77777777" w:rsidR="002E7120" w:rsidRDefault="002E7120" w:rsidP="00D52057">
            <w:pPr>
              <w:pStyle w:val="Tablenormal0"/>
              <w:rPr>
                <w:color w:val="000080"/>
              </w:rPr>
            </w:pPr>
            <w:r>
              <w:rPr>
                <w:color w:val="000080"/>
              </w:rPr>
              <w:t>6.4</w:t>
            </w:r>
          </w:p>
        </w:tc>
        <w:tc>
          <w:tcPr>
            <w:tcW w:w="1586" w:type="pct"/>
          </w:tcPr>
          <w:p w14:paraId="51469BD8" w14:textId="77777777" w:rsidR="002E7120" w:rsidRDefault="002E7120" w:rsidP="001C31BF">
            <w:pPr>
              <w:pStyle w:val="Tablenormal0"/>
            </w:pPr>
            <w:r>
              <w:t>Atmospheric testing or monitoring shall be conducted in a manner consistent with the hazards identified in the risk assessment of the confined space. No person shall enter a confined space to conduct atmospheric testing or monitoring without a written authority.</w:t>
            </w:r>
          </w:p>
        </w:tc>
        <w:tc>
          <w:tcPr>
            <w:tcW w:w="674" w:type="pct"/>
          </w:tcPr>
          <w:p w14:paraId="1CD57EB2" w14:textId="77777777" w:rsidR="002E7120" w:rsidRPr="00565D8C" w:rsidRDefault="002E7120" w:rsidP="00D52057">
            <w:pPr>
              <w:pStyle w:val="Tablenormal0"/>
            </w:pPr>
          </w:p>
        </w:tc>
        <w:tc>
          <w:tcPr>
            <w:tcW w:w="2418" w:type="pct"/>
          </w:tcPr>
          <w:p w14:paraId="456A223E" w14:textId="77777777" w:rsidR="002E7120" w:rsidRPr="00565D8C" w:rsidRDefault="002E7120" w:rsidP="00D52057">
            <w:pPr>
              <w:pStyle w:val="Tablenormal0"/>
            </w:pPr>
          </w:p>
        </w:tc>
      </w:tr>
    </w:tbl>
    <w:p w14:paraId="76E390D2" w14:textId="77777777" w:rsidR="00A2095B" w:rsidRDefault="00CD7120" w:rsidP="00CD7120">
      <w:pPr>
        <w:pStyle w:val="Heading1"/>
      </w:pPr>
      <w:r>
        <w:lastRenderedPageBreak/>
        <w:t>7</w:t>
      </w:r>
      <w:r>
        <w:tab/>
        <w:t>Emergency response equipment</w:t>
      </w:r>
    </w:p>
    <w:tbl>
      <w:tblPr>
        <w:tblStyle w:val="TableGrid"/>
        <w:tblW w:w="5000" w:type="pct"/>
        <w:tblLook w:val="0000" w:firstRow="0" w:lastRow="0" w:firstColumn="0" w:lastColumn="0" w:noHBand="0" w:noVBand="0"/>
      </w:tblPr>
      <w:tblGrid>
        <w:gridCol w:w="930"/>
        <w:gridCol w:w="4583"/>
        <w:gridCol w:w="1948"/>
        <w:gridCol w:w="6988"/>
      </w:tblGrid>
      <w:tr w:rsidR="00F73F97" w:rsidRPr="00565D8C" w14:paraId="643B4A6E" w14:textId="77777777" w:rsidTr="0057597F">
        <w:trPr>
          <w:cantSplit/>
          <w:trHeight w:val="322"/>
          <w:tblHeader/>
        </w:trPr>
        <w:tc>
          <w:tcPr>
            <w:tcW w:w="322" w:type="pct"/>
            <w:shd w:val="clear" w:color="auto" w:fill="F2F2F2" w:themeFill="background1" w:themeFillShade="F2"/>
          </w:tcPr>
          <w:p w14:paraId="1337CFC3" w14:textId="77777777" w:rsidR="00F73F97" w:rsidRPr="00565D8C" w:rsidRDefault="00F73F97" w:rsidP="00D52057">
            <w:pPr>
              <w:pStyle w:val="Tablenormal0"/>
              <w:rPr>
                <w:b/>
                <w:color w:val="000080"/>
              </w:rPr>
            </w:pPr>
            <w:r w:rsidRPr="00565D8C">
              <w:rPr>
                <w:b/>
                <w:color w:val="000080"/>
              </w:rPr>
              <w:t>Point</w:t>
            </w:r>
          </w:p>
        </w:tc>
        <w:tc>
          <w:tcPr>
            <w:tcW w:w="1586" w:type="pct"/>
            <w:shd w:val="clear" w:color="auto" w:fill="F2F2F2" w:themeFill="background1" w:themeFillShade="F2"/>
          </w:tcPr>
          <w:p w14:paraId="5F2A2EE6" w14:textId="77777777" w:rsidR="00F73F97" w:rsidRPr="00565D8C" w:rsidRDefault="00F73F97" w:rsidP="00D52057">
            <w:pPr>
              <w:pStyle w:val="Tablenormal0"/>
              <w:rPr>
                <w:b/>
                <w:color w:val="000080"/>
              </w:rPr>
            </w:pPr>
            <w:r w:rsidRPr="00565D8C">
              <w:rPr>
                <w:b/>
                <w:color w:val="000080"/>
              </w:rPr>
              <w:t>Standard</w:t>
            </w:r>
          </w:p>
        </w:tc>
        <w:tc>
          <w:tcPr>
            <w:tcW w:w="674" w:type="pct"/>
            <w:shd w:val="clear" w:color="auto" w:fill="F2F2F2" w:themeFill="background1" w:themeFillShade="F2"/>
          </w:tcPr>
          <w:p w14:paraId="70561D32" w14:textId="77777777" w:rsidR="00F73F97" w:rsidRPr="00565D8C" w:rsidRDefault="00F73F97" w:rsidP="00D52057">
            <w:pPr>
              <w:pStyle w:val="Tablenormal0"/>
              <w:rPr>
                <w:b/>
                <w:color w:val="000080"/>
              </w:rPr>
            </w:pPr>
            <w:r>
              <w:rPr>
                <w:b/>
                <w:color w:val="000080"/>
              </w:rPr>
              <w:t>Standard m</w:t>
            </w:r>
            <w:r w:rsidRPr="00565D8C">
              <w:rPr>
                <w:b/>
                <w:color w:val="000080"/>
              </w:rPr>
              <w:t>et</w:t>
            </w:r>
          </w:p>
        </w:tc>
        <w:tc>
          <w:tcPr>
            <w:tcW w:w="2418" w:type="pct"/>
            <w:shd w:val="clear" w:color="auto" w:fill="F2F2F2" w:themeFill="background1" w:themeFillShade="F2"/>
          </w:tcPr>
          <w:p w14:paraId="32AAF9BB" w14:textId="77777777" w:rsidR="00F73F97" w:rsidRPr="00565D8C" w:rsidRDefault="00F73F97" w:rsidP="00D52057">
            <w:pPr>
              <w:pStyle w:val="Tablenormal0"/>
              <w:rPr>
                <w:b/>
                <w:color w:val="000080"/>
              </w:rPr>
            </w:pPr>
            <w:r w:rsidRPr="00565D8C">
              <w:rPr>
                <w:b/>
                <w:color w:val="000080"/>
              </w:rPr>
              <w:t>Comments</w:t>
            </w:r>
          </w:p>
        </w:tc>
      </w:tr>
      <w:tr w:rsidR="00F73F97" w:rsidRPr="00565D8C" w14:paraId="17FEDE38" w14:textId="77777777" w:rsidTr="0057597F">
        <w:trPr>
          <w:cantSplit/>
          <w:trHeight w:val="488"/>
          <w:tblHeader/>
        </w:trPr>
        <w:tc>
          <w:tcPr>
            <w:tcW w:w="322" w:type="pct"/>
          </w:tcPr>
          <w:p w14:paraId="51A35373" w14:textId="77777777" w:rsidR="00F73F97" w:rsidRDefault="00F73F97" w:rsidP="00D52057">
            <w:pPr>
              <w:pStyle w:val="Tablenormal0"/>
              <w:rPr>
                <w:color w:val="000080"/>
              </w:rPr>
            </w:pPr>
            <w:r>
              <w:rPr>
                <w:color w:val="000080"/>
              </w:rPr>
              <w:t>7.1</w:t>
            </w:r>
          </w:p>
        </w:tc>
        <w:tc>
          <w:tcPr>
            <w:tcW w:w="1586" w:type="pct"/>
          </w:tcPr>
          <w:p w14:paraId="01C5356D" w14:textId="77777777" w:rsidR="00F73F97" w:rsidRDefault="00F73F97" w:rsidP="00DB7C03">
            <w:pPr>
              <w:pStyle w:val="Tablenormal0"/>
            </w:pPr>
            <w:r>
              <w:t>The employer has adequate emergency response equipment and resources to meet the requirements of the confined space work being carried out onsite, as per the emergency response plan.</w:t>
            </w:r>
          </w:p>
        </w:tc>
        <w:tc>
          <w:tcPr>
            <w:tcW w:w="674" w:type="pct"/>
          </w:tcPr>
          <w:p w14:paraId="059F577D" w14:textId="77777777" w:rsidR="00F73F97" w:rsidRPr="00565D8C" w:rsidRDefault="00F73F97" w:rsidP="00D52057">
            <w:pPr>
              <w:pStyle w:val="Tablenormal0"/>
            </w:pPr>
          </w:p>
        </w:tc>
        <w:tc>
          <w:tcPr>
            <w:tcW w:w="2418" w:type="pct"/>
          </w:tcPr>
          <w:p w14:paraId="4CEC156D" w14:textId="77777777" w:rsidR="00F73F97" w:rsidRPr="00565D8C" w:rsidRDefault="00F73F97" w:rsidP="00D52057">
            <w:pPr>
              <w:pStyle w:val="Tablenormal0"/>
            </w:pPr>
          </w:p>
        </w:tc>
      </w:tr>
      <w:tr w:rsidR="00F73F97" w:rsidRPr="00565D8C" w14:paraId="0F6C2A5B" w14:textId="77777777" w:rsidTr="0057597F">
        <w:trPr>
          <w:cantSplit/>
          <w:trHeight w:val="488"/>
          <w:tblHeader/>
        </w:trPr>
        <w:tc>
          <w:tcPr>
            <w:tcW w:w="322" w:type="pct"/>
          </w:tcPr>
          <w:p w14:paraId="279FB68E" w14:textId="77777777" w:rsidR="00F73F97" w:rsidRDefault="00F73F97" w:rsidP="00D52057">
            <w:pPr>
              <w:pStyle w:val="Tablenormal0"/>
              <w:rPr>
                <w:color w:val="000080"/>
              </w:rPr>
            </w:pPr>
            <w:r>
              <w:rPr>
                <w:color w:val="000080"/>
              </w:rPr>
              <w:t>7.2</w:t>
            </w:r>
          </w:p>
        </w:tc>
        <w:tc>
          <w:tcPr>
            <w:tcW w:w="1586" w:type="pct"/>
          </w:tcPr>
          <w:p w14:paraId="352B1F82" w14:textId="77777777" w:rsidR="00F73F97" w:rsidRDefault="00F73F97" w:rsidP="00DB7C03">
            <w:pPr>
              <w:pStyle w:val="Tablenormal0"/>
            </w:pPr>
            <w:r>
              <w:t>Appropriate emergency response and first aid procedures and provisions shall be identified, planned, established and rehearsed.</w:t>
            </w:r>
          </w:p>
        </w:tc>
        <w:tc>
          <w:tcPr>
            <w:tcW w:w="674" w:type="pct"/>
          </w:tcPr>
          <w:p w14:paraId="5264815D" w14:textId="77777777" w:rsidR="00F73F97" w:rsidRPr="00565D8C" w:rsidRDefault="00F73F97" w:rsidP="00D52057">
            <w:pPr>
              <w:pStyle w:val="Tablenormal0"/>
            </w:pPr>
          </w:p>
        </w:tc>
        <w:tc>
          <w:tcPr>
            <w:tcW w:w="2418" w:type="pct"/>
          </w:tcPr>
          <w:p w14:paraId="74C39D08" w14:textId="77777777" w:rsidR="00F73F97" w:rsidRPr="00565D8C" w:rsidRDefault="00F73F97" w:rsidP="00D52057">
            <w:pPr>
              <w:pStyle w:val="Tablenormal0"/>
            </w:pPr>
          </w:p>
        </w:tc>
      </w:tr>
      <w:tr w:rsidR="00F73F97" w:rsidRPr="00565D8C" w14:paraId="1E51E8D7" w14:textId="77777777" w:rsidTr="0057597F">
        <w:trPr>
          <w:cantSplit/>
          <w:trHeight w:val="488"/>
          <w:tblHeader/>
        </w:trPr>
        <w:tc>
          <w:tcPr>
            <w:tcW w:w="322" w:type="pct"/>
          </w:tcPr>
          <w:p w14:paraId="43A18EA5" w14:textId="77777777" w:rsidR="00F73F97" w:rsidRDefault="00F73F97" w:rsidP="00D52057">
            <w:pPr>
              <w:pStyle w:val="Tablenormal0"/>
              <w:rPr>
                <w:color w:val="000080"/>
              </w:rPr>
            </w:pPr>
            <w:r>
              <w:rPr>
                <w:color w:val="000080"/>
              </w:rPr>
              <w:t>7.3</w:t>
            </w:r>
          </w:p>
        </w:tc>
        <w:tc>
          <w:tcPr>
            <w:tcW w:w="1586" w:type="pct"/>
          </w:tcPr>
          <w:p w14:paraId="27EA2284" w14:textId="77777777" w:rsidR="00F73F97" w:rsidRDefault="00F73F97" w:rsidP="00DB7C03">
            <w:pPr>
              <w:pStyle w:val="Tablenormal0"/>
            </w:pPr>
            <w:r>
              <w:t>Those persons involved in an emergency response shall be made aware of the conditions and the number of persons in the confined space prior to any entry.</w:t>
            </w:r>
          </w:p>
        </w:tc>
        <w:tc>
          <w:tcPr>
            <w:tcW w:w="674" w:type="pct"/>
          </w:tcPr>
          <w:p w14:paraId="5C3ADBDF" w14:textId="77777777" w:rsidR="00F73F97" w:rsidRPr="00565D8C" w:rsidRDefault="00F73F97" w:rsidP="00D52057">
            <w:pPr>
              <w:pStyle w:val="Tablenormal0"/>
            </w:pPr>
          </w:p>
        </w:tc>
        <w:tc>
          <w:tcPr>
            <w:tcW w:w="2418" w:type="pct"/>
          </w:tcPr>
          <w:p w14:paraId="5911E382" w14:textId="77777777" w:rsidR="00F73F97" w:rsidRPr="00565D8C" w:rsidRDefault="00F73F97" w:rsidP="00D52057">
            <w:pPr>
              <w:pStyle w:val="Tablenormal0"/>
            </w:pPr>
          </w:p>
        </w:tc>
      </w:tr>
    </w:tbl>
    <w:p w14:paraId="475E4830" w14:textId="77777777" w:rsidR="00BF2E39" w:rsidRPr="00BF2E39" w:rsidRDefault="003510EF" w:rsidP="0047683A">
      <w:pPr>
        <w:pStyle w:val="Heading1"/>
      </w:pPr>
      <w:r>
        <w:t>8</w:t>
      </w:r>
      <w:r>
        <w:tab/>
      </w:r>
      <w:r w:rsidR="0047683A">
        <w:t>Accident / incident investigation</w:t>
      </w:r>
    </w:p>
    <w:tbl>
      <w:tblPr>
        <w:tblStyle w:val="TableGrid"/>
        <w:tblW w:w="5000" w:type="pct"/>
        <w:tblLook w:val="0000" w:firstRow="0" w:lastRow="0" w:firstColumn="0" w:lastColumn="0" w:noHBand="0" w:noVBand="0"/>
      </w:tblPr>
      <w:tblGrid>
        <w:gridCol w:w="930"/>
        <w:gridCol w:w="4583"/>
        <w:gridCol w:w="1948"/>
        <w:gridCol w:w="6988"/>
      </w:tblGrid>
      <w:tr w:rsidR="005F3318" w:rsidRPr="00565D8C" w14:paraId="47930138" w14:textId="77777777" w:rsidTr="000A4891">
        <w:trPr>
          <w:cantSplit/>
          <w:trHeight w:val="322"/>
          <w:tblHeader/>
        </w:trPr>
        <w:tc>
          <w:tcPr>
            <w:tcW w:w="322" w:type="pct"/>
            <w:shd w:val="clear" w:color="auto" w:fill="F2F2F2" w:themeFill="background1" w:themeFillShade="F2"/>
          </w:tcPr>
          <w:p w14:paraId="0704293D" w14:textId="77777777" w:rsidR="005F3318" w:rsidRPr="00565D8C" w:rsidRDefault="005F3318" w:rsidP="00D52057">
            <w:pPr>
              <w:pStyle w:val="Tablenormal0"/>
              <w:rPr>
                <w:b/>
                <w:color w:val="000080"/>
              </w:rPr>
            </w:pPr>
            <w:r w:rsidRPr="00565D8C">
              <w:rPr>
                <w:b/>
                <w:color w:val="000080"/>
              </w:rPr>
              <w:t>Point</w:t>
            </w:r>
          </w:p>
        </w:tc>
        <w:tc>
          <w:tcPr>
            <w:tcW w:w="1586" w:type="pct"/>
            <w:shd w:val="clear" w:color="auto" w:fill="F2F2F2" w:themeFill="background1" w:themeFillShade="F2"/>
          </w:tcPr>
          <w:p w14:paraId="45AECDCB" w14:textId="77777777" w:rsidR="005F3318" w:rsidRPr="00565D8C" w:rsidRDefault="005F3318" w:rsidP="00D52057">
            <w:pPr>
              <w:pStyle w:val="Tablenormal0"/>
              <w:rPr>
                <w:b/>
                <w:color w:val="000080"/>
              </w:rPr>
            </w:pPr>
            <w:r w:rsidRPr="00565D8C">
              <w:rPr>
                <w:b/>
                <w:color w:val="000080"/>
              </w:rPr>
              <w:t>Standard</w:t>
            </w:r>
          </w:p>
        </w:tc>
        <w:tc>
          <w:tcPr>
            <w:tcW w:w="674" w:type="pct"/>
            <w:shd w:val="clear" w:color="auto" w:fill="F2F2F2" w:themeFill="background1" w:themeFillShade="F2"/>
          </w:tcPr>
          <w:p w14:paraId="5E19CD45" w14:textId="77777777" w:rsidR="005F3318" w:rsidRPr="00565D8C" w:rsidRDefault="005F3318" w:rsidP="00D52057">
            <w:pPr>
              <w:pStyle w:val="Tablenormal0"/>
              <w:rPr>
                <w:b/>
                <w:color w:val="000080"/>
              </w:rPr>
            </w:pPr>
            <w:r>
              <w:rPr>
                <w:b/>
                <w:color w:val="000080"/>
              </w:rPr>
              <w:t>Standard m</w:t>
            </w:r>
            <w:r w:rsidRPr="00565D8C">
              <w:rPr>
                <w:b/>
                <w:color w:val="000080"/>
              </w:rPr>
              <w:t>et</w:t>
            </w:r>
          </w:p>
        </w:tc>
        <w:tc>
          <w:tcPr>
            <w:tcW w:w="2418" w:type="pct"/>
            <w:shd w:val="clear" w:color="auto" w:fill="F2F2F2" w:themeFill="background1" w:themeFillShade="F2"/>
          </w:tcPr>
          <w:p w14:paraId="1EE4B8D2" w14:textId="77777777" w:rsidR="005F3318" w:rsidRPr="00565D8C" w:rsidRDefault="005F3318" w:rsidP="00D52057">
            <w:pPr>
              <w:pStyle w:val="Tablenormal0"/>
              <w:rPr>
                <w:b/>
                <w:color w:val="000080"/>
              </w:rPr>
            </w:pPr>
            <w:r w:rsidRPr="00565D8C">
              <w:rPr>
                <w:b/>
                <w:color w:val="000080"/>
              </w:rPr>
              <w:t>Comments</w:t>
            </w:r>
          </w:p>
        </w:tc>
      </w:tr>
      <w:tr w:rsidR="005F3318" w:rsidRPr="00565D8C" w14:paraId="3B23E8AE" w14:textId="77777777" w:rsidTr="000A4891">
        <w:trPr>
          <w:cantSplit/>
          <w:trHeight w:val="488"/>
        </w:trPr>
        <w:tc>
          <w:tcPr>
            <w:tcW w:w="322" w:type="pct"/>
          </w:tcPr>
          <w:p w14:paraId="6DA28C45" w14:textId="77777777" w:rsidR="005F3318" w:rsidRDefault="005F3318" w:rsidP="00D52057">
            <w:pPr>
              <w:pStyle w:val="Tablenormal0"/>
              <w:rPr>
                <w:color w:val="000080"/>
              </w:rPr>
            </w:pPr>
            <w:r>
              <w:rPr>
                <w:color w:val="000080"/>
              </w:rPr>
              <w:t>8.1</w:t>
            </w:r>
          </w:p>
        </w:tc>
        <w:tc>
          <w:tcPr>
            <w:tcW w:w="1586" w:type="pct"/>
          </w:tcPr>
          <w:p w14:paraId="0FEC257C" w14:textId="77777777" w:rsidR="005F3318" w:rsidRDefault="005F3318" w:rsidP="000A4891">
            <w:pPr>
              <w:pStyle w:val="Tablenormal0"/>
            </w:pPr>
            <w:r>
              <w:t>The employer investigates incidents associated with confined spaces.</w:t>
            </w:r>
          </w:p>
        </w:tc>
        <w:tc>
          <w:tcPr>
            <w:tcW w:w="674" w:type="pct"/>
          </w:tcPr>
          <w:p w14:paraId="7166C79B" w14:textId="77777777" w:rsidR="005F3318" w:rsidRPr="00565D8C" w:rsidRDefault="005F3318" w:rsidP="00D52057">
            <w:pPr>
              <w:pStyle w:val="Tablenormal0"/>
            </w:pPr>
          </w:p>
        </w:tc>
        <w:tc>
          <w:tcPr>
            <w:tcW w:w="2418" w:type="pct"/>
          </w:tcPr>
          <w:p w14:paraId="0F04830B" w14:textId="77777777" w:rsidR="005F3318" w:rsidRPr="00565D8C" w:rsidRDefault="005F3318" w:rsidP="00D52057">
            <w:pPr>
              <w:pStyle w:val="Tablenormal0"/>
            </w:pPr>
          </w:p>
        </w:tc>
      </w:tr>
      <w:tr w:rsidR="005F3318" w:rsidRPr="00565D8C" w14:paraId="3233ACA5" w14:textId="77777777" w:rsidTr="000A4891">
        <w:trPr>
          <w:cantSplit/>
          <w:trHeight w:val="488"/>
        </w:trPr>
        <w:tc>
          <w:tcPr>
            <w:tcW w:w="322" w:type="pct"/>
          </w:tcPr>
          <w:p w14:paraId="6BA23114" w14:textId="77777777" w:rsidR="005F3318" w:rsidRDefault="005F3318" w:rsidP="00D52057">
            <w:pPr>
              <w:pStyle w:val="Tablenormal0"/>
              <w:rPr>
                <w:color w:val="000080"/>
              </w:rPr>
            </w:pPr>
            <w:r>
              <w:rPr>
                <w:color w:val="000080"/>
              </w:rPr>
              <w:t>8.2</w:t>
            </w:r>
          </w:p>
        </w:tc>
        <w:tc>
          <w:tcPr>
            <w:tcW w:w="1586" w:type="pct"/>
          </w:tcPr>
          <w:p w14:paraId="4841AC40" w14:textId="77777777" w:rsidR="005F3318" w:rsidRDefault="005F3318" w:rsidP="000A4891">
            <w:pPr>
              <w:pStyle w:val="Tablenormal0"/>
            </w:pPr>
            <w:r>
              <w:t>All actions arising from investigations of confined space entry incidents, have been implemented.</w:t>
            </w:r>
          </w:p>
        </w:tc>
        <w:tc>
          <w:tcPr>
            <w:tcW w:w="674" w:type="pct"/>
          </w:tcPr>
          <w:p w14:paraId="1A79E0F4" w14:textId="77777777" w:rsidR="005F3318" w:rsidRPr="00565D8C" w:rsidRDefault="005F3318" w:rsidP="00D52057">
            <w:pPr>
              <w:pStyle w:val="Tablenormal0"/>
            </w:pPr>
          </w:p>
        </w:tc>
        <w:tc>
          <w:tcPr>
            <w:tcW w:w="2418" w:type="pct"/>
          </w:tcPr>
          <w:p w14:paraId="50B7B1FA" w14:textId="77777777" w:rsidR="005F3318" w:rsidRPr="00565D8C" w:rsidRDefault="005F3318" w:rsidP="00D52057">
            <w:pPr>
              <w:pStyle w:val="Tablenormal0"/>
            </w:pPr>
          </w:p>
        </w:tc>
      </w:tr>
      <w:tr w:rsidR="005F3318" w:rsidRPr="00565D8C" w14:paraId="60AF4BC0" w14:textId="77777777" w:rsidTr="000A4891">
        <w:trPr>
          <w:cantSplit/>
          <w:trHeight w:val="488"/>
        </w:trPr>
        <w:tc>
          <w:tcPr>
            <w:tcW w:w="322" w:type="pct"/>
          </w:tcPr>
          <w:p w14:paraId="03731435" w14:textId="77777777" w:rsidR="005F3318" w:rsidRDefault="005F3318" w:rsidP="00D52057">
            <w:pPr>
              <w:pStyle w:val="Tablenormal0"/>
              <w:rPr>
                <w:color w:val="000080"/>
              </w:rPr>
            </w:pPr>
            <w:r>
              <w:rPr>
                <w:color w:val="000080"/>
              </w:rPr>
              <w:t>8.3</w:t>
            </w:r>
          </w:p>
        </w:tc>
        <w:tc>
          <w:tcPr>
            <w:tcW w:w="1586" w:type="pct"/>
          </w:tcPr>
          <w:p w14:paraId="70DAD5B2" w14:textId="77777777" w:rsidR="005F3318" w:rsidRDefault="005F3318" w:rsidP="000A4891">
            <w:pPr>
              <w:pStyle w:val="Tablenormal0"/>
            </w:pPr>
            <w:r>
              <w:t>Confined space incident reports, findings and controls are communicated to all relevant personnel including contactors.</w:t>
            </w:r>
          </w:p>
        </w:tc>
        <w:tc>
          <w:tcPr>
            <w:tcW w:w="674" w:type="pct"/>
          </w:tcPr>
          <w:p w14:paraId="16450075" w14:textId="77777777" w:rsidR="005F3318" w:rsidRPr="00565D8C" w:rsidRDefault="005F3318" w:rsidP="00D52057">
            <w:pPr>
              <w:pStyle w:val="Tablenormal0"/>
            </w:pPr>
          </w:p>
        </w:tc>
        <w:tc>
          <w:tcPr>
            <w:tcW w:w="2418" w:type="pct"/>
          </w:tcPr>
          <w:p w14:paraId="702F4678" w14:textId="77777777" w:rsidR="005F3318" w:rsidRPr="00565D8C" w:rsidRDefault="005F3318" w:rsidP="00D52057">
            <w:pPr>
              <w:pStyle w:val="Tablenormal0"/>
            </w:pPr>
          </w:p>
        </w:tc>
      </w:tr>
    </w:tbl>
    <w:p w14:paraId="3FF9DCCB" w14:textId="77777777" w:rsidR="003B5046" w:rsidRDefault="003B5046" w:rsidP="005F3318"/>
    <w:sectPr w:rsidR="003B5046" w:rsidSect="00DE27A5">
      <w:headerReference w:type="even" r:id="rId8"/>
      <w:headerReference w:type="default" r:id="rId9"/>
      <w:footerReference w:type="even" r:id="rId10"/>
      <w:footerReference w:type="default" r:id="rId11"/>
      <w:headerReference w:type="first" r:id="rId12"/>
      <w:footerReference w:type="first" r:id="rId13"/>
      <w:pgSz w:w="16838" w:h="11899" w:orient="landscape" w:code="9"/>
      <w:pgMar w:top="1134" w:right="1245"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1C17C" w14:textId="77777777" w:rsidR="00BC3D36" w:rsidRDefault="00BC3D36">
      <w:r>
        <w:separator/>
      </w:r>
    </w:p>
  </w:endnote>
  <w:endnote w:type="continuationSeparator" w:id="0">
    <w:p w14:paraId="292EE126" w14:textId="77777777" w:rsidR="00BC3D36" w:rsidRDefault="00BC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EB34" w14:textId="77777777" w:rsidR="0083513C" w:rsidRDefault="00835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8D11" w14:textId="77777777" w:rsidR="00D34D5F" w:rsidRPr="006746A8" w:rsidRDefault="00A67134" w:rsidP="006746A8">
    <w:pPr>
      <w:pStyle w:val="Footer"/>
      <w:tabs>
        <w:tab w:val="right" w:pos="14459"/>
      </w:tabs>
    </w:pPr>
    <w:r>
      <w:t>Confined space audit</w:t>
    </w:r>
    <w:r w:rsidR="00A00266" w:rsidRPr="006746A8">
      <w:tab/>
    </w:r>
    <w:r w:rsidR="006746A8">
      <w:tab/>
    </w:r>
    <w:r w:rsidR="00E16084">
      <w:ptab w:relativeTo="margin" w:alignment="right" w:leader="none"/>
    </w:r>
    <w:r w:rsidR="00B64808" w:rsidRPr="006746A8">
      <w:t xml:space="preserve">Page </w:t>
    </w:r>
    <w:r w:rsidR="00B64808" w:rsidRPr="006746A8">
      <w:fldChar w:fldCharType="begin"/>
    </w:r>
    <w:r w:rsidR="00B64808" w:rsidRPr="006746A8">
      <w:instrText xml:space="preserve"> PAGE  \* Arabic  \* MERGEFORMAT </w:instrText>
    </w:r>
    <w:r w:rsidR="00B64808" w:rsidRPr="006746A8">
      <w:fldChar w:fldCharType="separate"/>
    </w:r>
    <w:r w:rsidR="0019045B">
      <w:rPr>
        <w:noProof/>
      </w:rPr>
      <w:t>2</w:t>
    </w:r>
    <w:r w:rsidR="00B64808" w:rsidRPr="006746A8">
      <w:fldChar w:fldCharType="end"/>
    </w:r>
    <w:r w:rsidR="00B64808" w:rsidRPr="006746A8">
      <w:t xml:space="preserve"> of </w:t>
    </w:r>
    <w:fldSimple w:instr=" NUMPAGES  \* Arabic  \* MERGEFORMAT ">
      <w:r w:rsidR="0019045B">
        <w:rPr>
          <w:noProof/>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88150" w14:textId="77777777" w:rsidR="0083513C" w:rsidRDefault="00835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8DF0F" w14:textId="77777777" w:rsidR="00BC3D36" w:rsidRDefault="00BC3D36">
      <w:r>
        <w:separator/>
      </w:r>
    </w:p>
  </w:footnote>
  <w:footnote w:type="continuationSeparator" w:id="0">
    <w:p w14:paraId="0B3077FE" w14:textId="77777777" w:rsidR="00BC3D36" w:rsidRDefault="00BC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0408D" w14:textId="77777777" w:rsidR="0083513C" w:rsidRDefault="00835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3A8D" w14:textId="77777777" w:rsidR="00D34D5F" w:rsidRPr="0021185B" w:rsidRDefault="0021185B" w:rsidP="0021185B">
    <w:pPr>
      <w:pStyle w:val="Header"/>
      <w:tabs>
        <w:tab w:val="clear" w:pos="8640"/>
        <w:tab w:val="right" w:pos="14175"/>
      </w:tabs>
    </w:pPr>
    <w:r w:rsidRPr="00B32775">
      <w:rPr>
        <w:sz w:val="16"/>
        <w:szCs w:val="16"/>
      </w:rPr>
      <w:t>Department of Mines</w:t>
    </w:r>
    <w:r w:rsidR="005120A6" w:rsidRPr="00B32775">
      <w:rPr>
        <w:sz w:val="16"/>
        <w:szCs w:val="16"/>
      </w:rPr>
      <w:t>, Industry Regulation and Safety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1451" w14:textId="77777777" w:rsidR="0083513C" w:rsidRDefault="00835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4680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C78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89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3EB5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0AE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EBA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148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5053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8CB4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F66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971EC"/>
    <w:multiLevelType w:val="hybridMultilevel"/>
    <w:tmpl w:val="807485EA"/>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1" w15:restartNumberingAfterBreak="0">
    <w:nsid w:val="07E80924"/>
    <w:multiLevelType w:val="hybridMultilevel"/>
    <w:tmpl w:val="7BF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B610C"/>
    <w:multiLevelType w:val="hybridMultilevel"/>
    <w:tmpl w:val="9D66EC94"/>
    <w:lvl w:ilvl="0" w:tplc="2A741D24">
      <w:start w:val="1"/>
      <w:numFmt w:val="lowerLetter"/>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13" w15:restartNumberingAfterBreak="0">
    <w:nsid w:val="154417A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56F75F6"/>
    <w:multiLevelType w:val="hybridMultilevel"/>
    <w:tmpl w:val="5FDCFDCE"/>
    <w:lvl w:ilvl="0" w:tplc="674E9562">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5" w15:restartNumberingAfterBreak="0">
    <w:nsid w:val="18955201"/>
    <w:multiLevelType w:val="hybridMultilevel"/>
    <w:tmpl w:val="43EC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F46268"/>
    <w:multiLevelType w:val="multilevel"/>
    <w:tmpl w:val="D8C219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0DB1F62"/>
    <w:multiLevelType w:val="hybridMultilevel"/>
    <w:tmpl w:val="5C967D50"/>
    <w:lvl w:ilvl="0" w:tplc="2A741D24">
      <w:start w:val="1"/>
      <w:numFmt w:val="lowerLetter"/>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18" w15:restartNumberingAfterBreak="0">
    <w:nsid w:val="22932645"/>
    <w:multiLevelType w:val="hybridMultilevel"/>
    <w:tmpl w:val="D05E5D7E"/>
    <w:lvl w:ilvl="0" w:tplc="D674C20C">
      <w:start w:val="1"/>
      <w:numFmt w:val="bullet"/>
      <w:pStyle w:val="Table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19" w15:restartNumberingAfterBreak="0">
    <w:nsid w:val="2763391B"/>
    <w:multiLevelType w:val="hybridMultilevel"/>
    <w:tmpl w:val="FD740BDE"/>
    <w:lvl w:ilvl="0" w:tplc="0C090001">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20" w15:restartNumberingAfterBreak="0">
    <w:nsid w:val="29AE2245"/>
    <w:multiLevelType w:val="hybridMultilevel"/>
    <w:tmpl w:val="D2823A76"/>
    <w:lvl w:ilvl="0" w:tplc="2A741D24">
      <w:start w:val="1"/>
      <w:numFmt w:val="lowerLetter"/>
      <w:lvlText w:val="(%1)"/>
      <w:lvlJc w:val="left"/>
      <w:pPr>
        <w:ind w:left="411" w:hanging="360"/>
      </w:pPr>
      <w:rPr>
        <w:rFonts w:hint="default"/>
      </w:rPr>
    </w:lvl>
    <w:lvl w:ilvl="1" w:tplc="57D853E0">
      <w:start w:val="1"/>
      <w:numFmt w:val="lowerRoman"/>
      <w:lvlText w:val="(%2)"/>
      <w:lvlJc w:val="left"/>
      <w:pPr>
        <w:ind w:left="1131" w:hanging="360"/>
      </w:pPr>
      <w:rPr>
        <w:rFonts w:hint="default"/>
      </w:rPr>
    </w:lvl>
    <w:lvl w:ilvl="2" w:tplc="ACE08C8A">
      <w:start w:val="1"/>
      <w:numFmt w:val="lowerRoman"/>
      <w:lvlText w:val="%3."/>
      <w:lvlJc w:val="left"/>
      <w:pPr>
        <w:ind w:left="2391" w:hanging="720"/>
      </w:pPr>
      <w:rPr>
        <w:rFonts w:hint="default"/>
      </w:r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21" w15:restartNumberingAfterBreak="0">
    <w:nsid w:val="38AD7456"/>
    <w:multiLevelType w:val="hybridMultilevel"/>
    <w:tmpl w:val="99944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D54854"/>
    <w:multiLevelType w:val="hybridMultilevel"/>
    <w:tmpl w:val="04E895CE"/>
    <w:lvl w:ilvl="0" w:tplc="2A741D24">
      <w:start w:val="1"/>
      <w:numFmt w:val="lowerLetter"/>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23" w15:restartNumberingAfterBreak="0">
    <w:nsid w:val="4668430E"/>
    <w:multiLevelType w:val="hybridMultilevel"/>
    <w:tmpl w:val="795090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51072"/>
    <w:multiLevelType w:val="hybridMultilevel"/>
    <w:tmpl w:val="6A70E1F8"/>
    <w:lvl w:ilvl="0" w:tplc="E0E0788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707F54"/>
    <w:multiLevelType w:val="hybridMultilevel"/>
    <w:tmpl w:val="D8362870"/>
    <w:lvl w:ilvl="0" w:tplc="38F45E72">
      <w:start w:val="1"/>
      <w:numFmt w:val="lowerLetter"/>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26" w15:restartNumberingAfterBreak="0">
    <w:nsid w:val="54EC1F67"/>
    <w:multiLevelType w:val="hybridMultilevel"/>
    <w:tmpl w:val="C340EF94"/>
    <w:lvl w:ilvl="0" w:tplc="E0E078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305808"/>
    <w:multiLevelType w:val="hybridMultilevel"/>
    <w:tmpl w:val="EB54A0B6"/>
    <w:lvl w:ilvl="0" w:tplc="2FD67C5A">
      <w:start w:val="1"/>
      <w:numFmt w:val="bullet"/>
      <w:lvlText w:val=""/>
      <w:lvlJc w:val="left"/>
      <w:pPr>
        <w:tabs>
          <w:tab w:val="num" w:pos="1185"/>
        </w:tabs>
        <w:ind w:left="1185" w:hanging="283"/>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28" w15:restartNumberingAfterBreak="0">
    <w:nsid w:val="55990E2A"/>
    <w:multiLevelType w:val="hybridMultilevel"/>
    <w:tmpl w:val="48A8A27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57995E66"/>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0" w15:restartNumberingAfterBreak="0">
    <w:nsid w:val="5C7248C5"/>
    <w:multiLevelType w:val="hybridMultilevel"/>
    <w:tmpl w:val="C6AAE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836D5"/>
    <w:multiLevelType w:val="hybridMultilevel"/>
    <w:tmpl w:val="AF0AAEE6"/>
    <w:lvl w:ilvl="0" w:tplc="2A741D24">
      <w:start w:val="1"/>
      <w:numFmt w:val="lowerLetter"/>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32" w15:restartNumberingAfterBreak="0">
    <w:nsid w:val="631313C5"/>
    <w:multiLevelType w:val="multilevel"/>
    <w:tmpl w:val="6A466E66"/>
    <w:lvl w:ilvl="0">
      <w:start w:val="1"/>
      <w:numFmt w:val="bullet"/>
      <w:lvlText w:val=""/>
      <w:lvlJc w:val="left"/>
      <w:pPr>
        <w:tabs>
          <w:tab w:val="num" w:pos="618"/>
        </w:tabs>
        <w:ind w:left="618" w:hanging="567"/>
      </w:pPr>
      <w:rPr>
        <w:rFonts w:ascii="Wingdings" w:hAnsi="Wingdings"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3" w15:restartNumberingAfterBreak="0">
    <w:nsid w:val="6334189D"/>
    <w:multiLevelType w:val="hybridMultilevel"/>
    <w:tmpl w:val="F1B66CDE"/>
    <w:lvl w:ilvl="0" w:tplc="57D853E0">
      <w:start w:val="1"/>
      <w:numFmt w:val="lowerRoman"/>
      <w:lvlText w:val="(%1)"/>
      <w:lvlJc w:val="left"/>
      <w:pPr>
        <w:ind w:left="771" w:hanging="360"/>
      </w:pPr>
      <w:rPr>
        <w:rFonts w:hint="default"/>
      </w:rPr>
    </w:lvl>
    <w:lvl w:ilvl="1" w:tplc="0C090019">
      <w:start w:val="1"/>
      <w:numFmt w:val="lowerLetter"/>
      <w:lvlText w:val="%2."/>
      <w:lvlJc w:val="left"/>
      <w:pPr>
        <w:ind w:left="1491" w:hanging="360"/>
      </w:pPr>
    </w:lvl>
    <w:lvl w:ilvl="2" w:tplc="0C09001B">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34" w15:restartNumberingAfterBreak="0">
    <w:nsid w:val="641B28F5"/>
    <w:multiLevelType w:val="hybridMultilevel"/>
    <w:tmpl w:val="EF7E7F0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35" w15:restartNumberingAfterBreak="0">
    <w:nsid w:val="648C2D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99A7CD1"/>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7" w15:restartNumberingAfterBreak="0">
    <w:nsid w:val="74122BAB"/>
    <w:multiLevelType w:val="hybridMultilevel"/>
    <w:tmpl w:val="DEEE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2E5D92"/>
    <w:multiLevelType w:val="hybridMultilevel"/>
    <w:tmpl w:val="D2823A76"/>
    <w:lvl w:ilvl="0" w:tplc="2A741D24">
      <w:start w:val="1"/>
      <w:numFmt w:val="lowerLetter"/>
      <w:lvlText w:val="(%1)"/>
      <w:lvlJc w:val="left"/>
      <w:pPr>
        <w:ind w:left="411" w:hanging="360"/>
      </w:pPr>
      <w:rPr>
        <w:rFonts w:hint="default"/>
      </w:rPr>
    </w:lvl>
    <w:lvl w:ilvl="1" w:tplc="57D853E0">
      <w:start w:val="1"/>
      <w:numFmt w:val="lowerRoman"/>
      <w:lvlText w:val="(%2)"/>
      <w:lvlJc w:val="left"/>
      <w:pPr>
        <w:ind w:left="1131" w:hanging="360"/>
      </w:pPr>
      <w:rPr>
        <w:rFonts w:hint="default"/>
      </w:rPr>
    </w:lvl>
    <w:lvl w:ilvl="2" w:tplc="ACE08C8A">
      <w:start w:val="1"/>
      <w:numFmt w:val="lowerRoman"/>
      <w:lvlText w:val="%3."/>
      <w:lvlJc w:val="left"/>
      <w:pPr>
        <w:ind w:left="2391" w:hanging="720"/>
      </w:pPr>
      <w:rPr>
        <w:rFonts w:hint="default"/>
      </w:r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39" w15:restartNumberingAfterBreak="0">
    <w:nsid w:val="7F8E32A1"/>
    <w:multiLevelType w:val="hybridMultilevel"/>
    <w:tmpl w:val="158AA5C2"/>
    <w:lvl w:ilvl="0" w:tplc="2A741D24">
      <w:start w:val="1"/>
      <w:numFmt w:val="lowerLetter"/>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num w:numId="1" w16cid:durableId="1900239137">
    <w:abstractNumId w:val="26"/>
  </w:num>
  <w:num w:numId="2" w16cid:durableId="1582374697">
    <w:abstractNumId w:val="34"/>
  </w:num>
  <w:num w:numId="3" w16cid:durableId="1801070245">
    <w:abstractNumId w:val="28"/>
  </w:num>
  <w:num w:numId="4" w16cid:durableId="1237009468">
    <w:abstractNumId w:val="10"/>
  </w:num>
  <w:num w:numId="5" w16cid:durableId="1769891476">
    <w:abstractNumId w:val="24"/>
  </w:num>
  <w:num w:numId="6" w16cid:durableId="1999990888">
    <w:abstractNumId w:val="15"/>
  </w:num>
  <w:num w:numId="7" w16cid:durableId="1800755337">
    <w:abstractNumId w:val="21"/>
  </w:num>
  <w:num w:numId="8" w16cid:durableId="921453377">
    <w:abstractNumId w:val="35"/>
  </w:num>
  <w:num w:numId="9" w16cid:durableId="359475192">
    <w:abstractNumId w:val="27"/>
  </w:num>
  <w:num w:numId="10" w16cid:durableId="1617130286">
    <w:abstractNumId w:val="29"/>
  </w:num>
  <w:num w:numId="11" w16cid:durableId="330719620">
    <w:abstractNumId w:val="36"/>
  </w:num>
  <w:num w:numId="12" w16cid:durableId="915751114">
    <w:abstractNumId w:val="18"/>
  </w:num>
  <w:num w:numId="13" w16cid:durableId="63333269">
    <w:abstractNumId w:val="9"/>
  </w:num>
  <w:num w:numId="14" w16cid:durableId="1873223426">
    <w:abstractNumId w:val="7"/>
  </w:num>
  <w:num w:numId="15" w16cid:durableId="815147243">
    <w:abstractNumId w:val="6"/>
  </w:num>
  <w:num w:numId="16" w16cid:durableId="1561747054">
    <w:abstractNumId w:val="5"/>
  </w:num>
  <w:num w:numId="17" w16cid:durableId="1970358504">
    <w:abstractNumId w:val="4"/>
  </w:num>
  <w:num w:numId="18" w16cid:durableId="1106191488">
    <w:abstractNumId w:val="8"/>
  </w:num>
  <w:num w:numId="19" w16cid:durableId="1218249219">
    <w:abstractNumId w:val="3"/>
  </w:num>
  <w:num w:numId="20" w16cid:durableId="829518477">
    <w:abstractNumId w:val="2"/>
  </w:num>
  <w:num w:numId="21" w16cid:durableId="1177039472">
    <w:abstractNumId w:val="1"/>
  </w:num>
  <w:num w:numId="22" w16cid:durableId="1835996737">
    <w:abstractNumId w:val="0"/>
  </w:num>
  <w:num w:numId="23" w16cid:durableId="1122188692">
    <w:abstractNumId w:val="14"/>
  </w:num>
  <w:num w:numId="24" w16cid:durableId="650133168">
    <w:abstractNumId w:val="32"/>
  </w:num>
  <w:num w:numId="25" w16cid:durableId="1407413494">
    <w:abstractNumId w:val="19"/>
  </w:num>
  <w:num w:numId="26" w16cid:durableId="1271664047">
    <w:abstractNumId w:val="23"/>
  </w:num>
  <w:num w:numId="27" w16cid:durableId="1085878280">
    <w:abstractNumId w:val="13"/>
  </w:num>
  <w:num w:numId="28" w16cid:durableId="98333837">
    <w:abstractNumId w:val="30"/>
  </w:num>
  <w:num w:numId="29" w16cid:durableId="594366090">
    <w:abstractNumId w:val="11"/>
  </w:num>
  <w:num w:numId="30" w16cid:durableId="629438977">
    <w:abstractNumId w:val="37"/>
  </w:num>
  <w:num w:numId="31" w16cid:durableId="1916665880">
    <w:abstractNumId w:val="16"/>
  </w:num>
  <w:num w:numId="32" w16cid:durableId="554971309">
    <w:abstractNumId w:val="39"/>
  </w:num>
  <w:num w:numId="33" w16cid:durableId="185142166">
    <w:abstractNumId w:val="12"/>
  </w:num>
  <w:num w:numId="34" w16cid:durableId="1776246346">
    <w:abstractNumId w:val="25"/>
  </w:num>
  <w:num w:numId="35" w16cid:durableId="424345656">
    <w:abstractNumId w:val="31"/>
  </w:num>
  <w:num w:numId="36" w16cid:durableId="59256346">
    <w:abstractNumId w:val="17"/>
  </w:num>
  <w:num w:numId="37" w16cid:durableId="76176332">
    <w:abstractNumId w:val="38"/>
  </w:num>
  <w:num w:numId="38" w16cid:durableId="1243683083">
    <w:abstractNumId w:val="33"/>
  </w:num>
  <w:num w:numId="39" w16cid:durableId="65568191">
    <w:abstractNumId w:val="20"/>
  </w:num>
  <w:num w:numId="40" w16cid:durableId="3718060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80"/>
    <w:rsid w:val="00001177"/>
    <w:rsid w:val="00002040"/>
    <w:rsid w:val="00003635"/>
    <w:rsid w:val="000071EC"/>
    <w:rsid w:val="00012D50"/>
    <w:rsid w:val="00013EE9"/>
    <w:rsid w:val="00014CF9"/>
    <w:rsid w:val="00025E01"/>
    <w:rsid w:val="000305A3"/>
    <w:rsid w:val="00031767"/>
    <w:rsid w:val="00051E1B"/>
    <w:rsid w:val="0005553E"/>
    <w:rsid w:val="000557A6"/>
    <w:rsid w:val="00056602"/>
    <w:rsid w:val="00057315"/>
    <w:rsid w:val="00064D6E"/>
    <w:rsid w:val="000746B0"/>
    <w:rsid w:val="00077E5F"/>
    <w:rsid w:val="0008408A"/>
    <w:rsid w:val="00085ADB"/>
    <w:rsid w:val="000A4891"/>
    <w:rsid w:val="000A76F7"/>
    <w:rsid w:val="000B0C80"/>
    <w:rsid w:val="000B47D1"/>
    <w:rsid w:val="000B51E4"/>
    <w:rsid w:val="000E2F7A"/>
    <w:rsid w:val="000E45A6"/>
    <w:rsid w:val="000F3E5F"/>
    <w:rsid w:val="001019F6"/>
    <w:rsid w:val="0010302D"/>
    <w:rsid w:val="00105AA0"/>
    <w:rsid w:val="00120806"/>
    <w:rsid w:val="00130CE7"/>
    <w:rsid w:val="001326E5"/>
    <w:rsid w:val="00132B72"/>
    <w:rsid w:val="00137BDB"/>
    <w:rsid w:val="00137DFE"/>
    <w:rsid w:val="0015017F"/>
    <w:rsid w:val="00163622"/>
    <w:rsid w:val="00176B61"/>
    <w:rsid w:val="001824CF"/>
    <w:rsid w:val="0019045B"/>
    <w:rsid w:val="001918A9"/>
    <w:rsid w:val="00194309"/>
    <w:rsid w:val="001A3CEC"/>
    <w:rsid w:val="001A4540"/>
    <w:rsid w:val="001A5DFF"/>
    <w:rsid w:val="001C238B"/>
    <w:rsid w:val="001C31BF"/>
    <w:rsid w:val="001C39A7"/>
    <w:rsid w:val="001D247B"/>
    <w:rsid w:val="001E03B1"/>
    <w:rsid w:val="001E5E2B"/>
    <w:rsid w:val="001F42C2"/>
    <w:rsid w:val="001F6731"/>
    <w:rsid w:val="001F7594"/>
    <w:rsid w:val="00201DE9"/>
    <w:rsid w:val="00203A12"/>
    <w:rsid w:val="0021185B"/>
    <w:rsid w:val="002139E8"/>
    <w:rsid w:val="00215686"/>
    <w:rsid w:val="00216D1B"/>
    <w:rsid w:val="00220B89"/>
    <w:rsid w:val="00223DEB"/>
    <w:rsid w:val="0022496C"/>
    <w:rsid w:val="00225495"/>
    <w:rsid w:val="00230367"/>
    <w:rsid w:val="002312E4"/>
    <w:rsid w:val="00245C92"/>
    <w:rsid w:val="00247AF9"/>
    <w:rsid w:val="0025049A"/>
    <w:rsid w:val="0025684B"/>
    <w:rsid w:val="00265E85"/>
    <w:rsid w:val="0026663B"/>
    <w:rsid w:val="0029255D"/>
    <w:rsid w:val="0029644A"/>
    <w:rsid w:val="002A075D"/>
    <w:rsid w:val="002B6037"/>
    <w:rsid w:val="002B7415"/>
    <w:rsid w:val="002C0DF6"/>
    <w:rsid w:val="002C2E5E"/>
    <w:rsid w:val="002C7EBC"/>
    <w:rsid w:val="002D60BC"/>
    <w:rsid w:val="002D7B56"/>
    <w:rsid w:val="002E5235"/>
    <w:rsid w:val="002E6E8F"/>
    <w:rsid w:val="002E7120"/>
    <w:rsid w:val="002E7C5B"/>
    <w:rsid w:val="002F473C"/>
    <w:rsid w:val="002F4753"/>
    <w:rsid w:val="00300D52"/>
    <w:rsid w:val="00303EC6"/>
    <w:rsid w:val="003064A1"/>
    <w:rsid w:val="00310C2C"/>
    <w:rsid w:val="0031236F"/>
    <w:rsid w:val="00323960"/>
    <w:rsid w:val="00332529"/>
    <w:rsid w:val="003417E4"/>
    <w:rsid w:val="00344624"/>
    <w:rsid w:val="003510EF"/>
    <w:rsid w:val="0035136E"/>
    <w:rsid w:val="00351BD5"/>
    <w:rsid w:val="00353346"/>
    <w:rsid w:val="00355589"/>
    <w:rsid w:val="0036248F"/>
    <w:rsid w:val="00375B04"/>
    <w:rsid w:val="0037711F"/>
    <w:rsid w:val="003775DA"/>
    <w:rsid w:val="00382732"/>
    <w:rsid w:val="003835EB"/>
    <w:rsid w:val="0039639E"/>
    <w:rsid w:val="003A0A96"/>
    <w:rsid w:val="003B4F4C"/>
    <w:rsid w:val="003B5046"/>
    <w:rsid w:val="003C7FC2"/>
    <w:rsid w:val="003D7E5F"/>
    <w:rsid w:val="003E008C"/>
    <w:rsid w:val="003F6C0D"/>
    <w:rsid w:val="003F75F0"/>
    <w:rsid w:val="00401BFC"/>
    <w:rsid w:val="004049AB"/>
    <w:rsid w:val="0040663B"/>
    <w:rsid w:val="0041218C"/>
    <w:rsid w:val="0041529C"/>
    <w:rsid w:val="004231F8"/>
    <w:rsid w:val="00424AF4"/>
    <w:rsid w:val="0043735E"/>
    <w:rsid w:val="004413F7"/>
    <w:rsid w:val="004422C8"/>
    <w:rsid w:val="00445998"/>
    <w:rsid w:val="0044705F"/>
    <w:rsid w:val="00452F99"/>
    <w:rsid w:val="0047683A"/>
    <w:rsid w:val="004801F5"/>
    <w:rsid w:val="004839D8"/>
    <w:rsid w:val="00485125"/>
    <w:rsid w:val="00486F0B"/>
    <w:rsid w:val="00493715"/>
    <w:rsid w:val="004B7310"/>
    <w:rsid w:val="004C38FF"/>
    <w:rsid w:val="004C696C"/>
    <w:rsid w:val="004D2A14"/>
    <w:rsid w:val="004D3EA9"/>
    <w:rsid w:val="004D52F9"/>
    <w:rsid w:val="004D70B3"/>
    <w:rsid w:val="004E425D"/>
    <w:rsid w:val="004F44E0"/>
    <w:rsid w:val="00507003"/>
    <w:rsid w:val="00507576"/>
    <w:rsid w:val="005120A6"/>
    <w:rsid w:val="00527EF0"/>
    <w:rsid w:val="00536BE5"/>
    <w:rsid w:val="0054015B"/>
    <w:rsid w:val="005412A7"/>
    <w:rsid w:val="00543B7A"/>
    <w:rsid w:val="00551BD6"/>
    <w:rsid w:val="005547D3"/>
    <w:rsid w:val="00571662"/>
    <w:rsid w:val="00572D42"/>
    <w:rsid w:val="0057597F"/>
    <w:rsid w:val="00592785"/>
    <w:rsid w:val="005A20FB"/>
    <w:rsid w:val="005A47D3"/>
    <w:rsid w:val="005A4FF1"/>
    <w:rsid w:val="005A5422"/>
    <w:rsid w:val="005B3F64"/>
    <w:rsid w:val="005B424D"/>
    <w:rsid w:val="005C4479"/>
    <w:rsid w:val="005C5D84"/>
    <w:rsid w:val="005D448A"/>
    <w:rsid w:val="005D6DAD"/>
    <w:rsid w:val="005D7117"/>
    <w:rsid w:val="005E1FCC"/>
    <w:rsid w:val="005E2292"/>
    <w:rsid w:val="005F1DBB"/>
    <w:rsid w:val="005F3318"/>
    <w:rsid w:val="00603803"/>
    <w:rsid w:val="00603E08"/>
    <w:rsid w:val="006047A5"/>
    <w:rsid w:val="00611127"/>
    <w:rsid w:val="006122E4"/>
    <w:rsid w:val="0061320F"/>
    <w:rsid w:val="0062050B"/>
    <w:rsid w:val="00621710"/>
    <w:rsid w:val="00623544"/>
    <w:rsid w:val="00623666"/>
    <w:rsid w:val="00631338"/>
    <w:rsid w:val="00633FBE"/>
    <w:rsid w:val="00650E7C"/>
    <w:rsid w:val="0065169A"/>
    <w:rsid w:val="006516A5"/>
    <w:rsid w:val="00652C8A"/>
    <w:rsid w:val="00663655"/>
    <w:rsid w:val="0066513B"/>
    <w:rsid w:val="00666CB5"/>
    <w:rsid w:val="00667196"/>
    <w:rsid w:val="006746A8"/>
    <w:rsid w:val="00687190"/>
    <w:rsid w:val="0069765B"/>
    <w:rsid w:val="006A326B"/>
    <w:rsid w:val="006B627A"/>
    <w:rsid w:val="006C1062"/>
    <w:rsid w:val="006C4CFD"/>
    <w:rsid w:val="006D10A0"/>
    <w:rsid w:val="006D21FD"/>
    <w:rsid w:val="006D53E1"/>
    <w:rsid w:val="006E04CE"/>
    <w:rsid w:val="006E7748"/>
    <w:rsid w:val="00711E01"/>
    <w:rsid w:val="0071424A"/>
    <w:rsid w:val="00721226"/>
    <w:rsid w:val="00732265"/>
    <w:rsid w:val="00740335"/>
    <w:rsid w:val="007446EE"/>
    <w:rsid w:val="0074482F"/>
    <w:rsid w:val="00747DF6"/>
    <w:rsid w:val="00753A90"/>
    <w:rsid w:val="00757FDA"/>
    <w:rsid w:val="007612B5"/>
    <w:rsid w:val="00765CF7"/>
    <w:rsid w:val="00765D0A"/>
    <w:rsid w:val="00767607"/>
    <w:rsid w:val="00775490"/>
    <w:rsid w:val="007830BC"/>
    <w:rsid w:val="007931F8"/>
    <w:rsid w:val="00793D2C"/>
    <w:rsid w:val="007B206C"/>
    <w:rsid w:val="007B6383"/>
    <w:rsid w:val="007C00DD"/>
    <w:rsid w:val="007C0144"/>
    <w:rsid w:val="007D0A9D"/>
    <w:rsid w:val="007D39C7"/>
    <w:rsid w:val="007D6B04"/>
    <w:rsid w:val="007D76AF"/>
    <w:rsid w:val="007E2CF7"/>
    <w:rsid w:val="007E3BE7"/>
    <w:rsid w:val="007F04F7"/>
    <w:rsid w:val="007F14CE"/>
    <w:rsid w:val="007F38CE"/>
    <w:rsid w:val="007F750A"/>
    <w:rsid w:val="007F7CD4"/>
    <w:rsid w:val="008115AF"/>
    <w:rsid w:val="008149B4"/>
    <w:rsid w:val="008267C2"/>
    <w:rsid w:val="008334C3"/>
    <w:rsid w:val="0083513C"/>
    <w:rsid w:val="00835B77"/>
    <w:rsid w:val="008452E8"/>
    <w:rsid w:val="00845698"/>
    <w:rsid w:val="008476C6"/>
    <w:rsid w:val="008528E4"/>
    <w:rsid w:val="00852A21"/>
    <w:rsid w:val="00854AF6"/>
    <w:rsid w:val="00860F6E"/>
    <w:rsid w:val="00863618"/>
    <w:rsid w:val="00872C9A"/>
    <w:rsid w:val="00881538"/>
    <w:rsid w:val="00883753"/>
    <w:rsid w:val="008A2BC7"/>
    <w:rsid w:val="008A41A8"/>
    <w:rsid w:val="008A4230"/>
    <w:rsid w:val="008B22F7"/>
    <w:rsid w:val="008B3C97"/>
    <w:rsid w:val="008C0638"/>
    <w:rsid w:val="008C5DE4"/>
    <w:rsid w:val="008E4F7A"/>
    <w:rsid w:val="008E7B80"/>
    <w:rsid w:val="008F1992"/>
    <w:rsid w:val="008F5479"/>
    <w:rsid w:val="008F5EDD"/>
    <w:rsid w:val="00903056"/>
    <w:rsid w:val="0090522D"/>
    <w:rsid w:val="00912B3C"/>
    <w:rsid w:val="00916F32"/>
    <w:rsid w:val="0092139D"/>
    <w:rsid w:val="009241F7"/>
    <w:rsid w:val="0092442C"/>
    <w:rsid w:val="00926842"/>
    <w:rsid w:val="00934809"/>
    <w:rsid w:val="009458B3"/>
    <w:rsid w:val="00945D2E"/>
    <w:rsid w:val="009532F2"/>
    <w:rsid w:val="00956EA4"/>
    <w:rsid w:val="009629D7"/>
    <w:rsid w:val="00965C74"/>
    <w:rsid w:val="00966210"/>
    <w:rsid w:val="0096683C"/>
    <w:rsid w:val="00985480"/>
    <w:rsid w:val="00985805"/>
    <w:rsid w:val="009B2D5C"/>
    <w:rsid w:val="009C0AD1"/>
    <w:rsid w:val="009C2516"/>
    <w:rsid w:val="009D0169"/>
    <w:rsid w:val="009E0629"/>
    <w:rsid w:val="009E0B84"/>
    <w:rsid w:val="009E7BCE"/>
    <w:rsid w:val="009F110B"/>
    <w:rsid w:val="00A00266"/>
    <w:rsid w:val="00A06C2D"/>
    <w:rsid w:val="00A13569"/>
    <w:rsid w:val="00A2095B"/>
    <w:rsid w:val="00A2747D"/>
    <w:rsid w:val="00A40449"/>
    <w:rsid w:val="00A411AA"/>
    <w:rsid w:val="00A4133B"/>
    <w:rsid w:val="00A415A4"/>
    <w:rsid w:val="00A423FF"/>
    <w:rsid w:val="00A472E7"/>
    <w:rsid w:val="00A53F87"/>
    <w:rsid w:val="00A54212"/>
    <w:rsid w:val="00A5501A"/>
    <w:rsid w:val="00A55273"/>
    <w:rsid w:val="00A5570C"/>
    <w:rsid w:val="00A67134"/>
    <w:rsid w:val="00A710A4"/>
    <w:rsid w:val="00A73E27"/>
    <w:rsid w:val="00A75C75"/>
    <w:rsid w:val="00A931AE"/>
    <w:rsid w:val="00A974EF"/>
    <w:rsid w:val="00AA10AE"/>
    <w:rsid w:val="00AA434D"/>
    <w:rsid w:val="00AB2492"/>
    <w:rsid w:val="00AB68FF"/>
    <w:rsid w:val="00AB7D23"/>
    <w:rsid w:val="00AC0152"/>
    <w:rsid w:val="00AC3A00"/>
    <w:rsid w:val="00AC6BCC"/>
    <w:rsid w:val="00AC71D8"/>
    <w:rsid w:val="00AD15CE"/>
    <w:rsid w:val="00AD3EBA"/>
    <w:rsid w:val="00AD57D5"/>
    <w:rsid w:val="00AD5CE0"/>
    <w:rsid w:val="00AE5D81"/>
    <w:rsid w:val="00AF2A44"/>
    <w:rsid w:val="00AF3266"/>
    <w:rsid w:val="00AF4C35"/>
    <w:rsid w:val="00B172D6"/>
    <w:rsid w:val="00B24384"/>
    <w:rsid w:val="00B2678A"/>
    <w:rsid w:val="00B32446"/>
    <w:rsid w:val="00B32775"/>
    <w:rsid w:val="00B33A9C"/>
    <w:rsid w:val="00B41DB6"/>
    <w:rsid w:val="00B449D8"/>
    <w:rsid w:val="00B46AA7"/>
    <w:rsid w:val="00B500B8"/>
    <w:rsid w:val="00B50661"/>
    <w:rsid w:val="00B54906"/>
    <w:rsid w:val="00B55FE2"/>
    <w:rsid w:val="00B60B33"/>
    <w:rsid w:val="00B613E2"/>
    <w:rsid w:val="00B62458"/>
    <w:rsid w:val="00B64808"/>
    <w:rsid w:val="00B7004E"/>
    <w:rsid w:val="00B70E15"/>
    <w:rsid w:val="00B760A1"/>
    <w:rsid w:val="00B8529F"/>
    <w:rsid w:val="00B93C89"/>
    <w:rsid w:val="00B964CE"/>
    <w:rsid w:val="00B9707D"/>
    <w:rsid w:val="00BA0FD2"/>
    <w:rsid w:val="00BA22B9"/>
    <w:rsid w:val="00BA6634"/>
    <w:rsid w:val="00BB1203"/>
    <w:rsid w:val="00BB6A9A"/>
    <w:rsid w:val="00BC1C1F"/>
    <w:rsid w:val="00BC3D36"/>
    <w:rsid w:val="00BC530A"/>
    <w:rsid w:val="00BC6652"/>
    <w:rsid w:val="00BD1620"/>
    <w:rsid w:val="00BD349C"/>
    <w:rsid w:val="00BE062E"/>
    <w:rsid w:val="00BF0DB7"/>
    <w:rsid w:val="00BF2E39"/>
    <w:rsid w:val="00BF440B"/>
    <w:rsid w:val="00BF7055"/>
    <w:rsid w:val="00C063BB"/>
    <w:rsid w:val="00C06AB2"/>
    <w:rsid w:val="00C07FE1"/>
    <w:rsid w:val="00C116FE"/>
    <w:rsid w:val="00C11EDE"/>
    <w:rsid w:val="00C16E55"/>
    <w:rsid w:val="00C17692"/>
    <w:rsid w:val="00C23FC7"/>
    <w:rsid w:val="00C256FB"/>
    <w:rsid w:val="00C30D3B"/>
    <w:rsid w:val="00C32DED"/>
    <w:rsid w:val="00C45207"/>
    <w:rsid w:val="00C607B4"/>
    <w:rsid w:val="00C61336"/>
    <w:rsid w:val="00C62C47"/>
    <w:rsid w:val="00C63DC7"/>
    <w:rsid w:val="00C64C83"/>
    <w:rsid w:val="00C651B0"/>
    <w:rsid w:val="00C656B9"/>
    <w:rsid w:val="00C90AF6"/>
    <w:rsid w:val="00C95649"/>
    <w:rsid w:val="00CB2F68"/>
    <w:rsid w:val="00CC54E1"/>
    <w:rsid w:val="00CD4C5F"/>
    <w:rsid w:val="00CD7120"/>
    <w:rsid w:val="00CE0FC3"/>
    <w:rsid w:val="00CE6623"/>
    <w:rsid w:val="00CE7313"/>
    <w:rsid w:val="00CF636F"/>
    <w:rsid w:val="00D00F85"/>
    <w:rsid w:val="00D0586E"/>
    <w:rsid w:val="00D13FF8"/>
    <w:rsid w:val="00D274B1"/>
    <w:rsid w:val="00D34D5F"/>
    <w:rsid w:val="00D505AD"/>
    <w:rsid w:val="00D63FE5"/>
    <w:rsid w:val="00D70DC2"/>
    <w:rsid w:val="00D82FDB"/>
    <w:rsid w:val="00D8755C"/>
    <w:rsid w:val="00D87E60"/>
    <w:rsid w:val="00D918C4"/>
    <w:rsid w:val="00D9416E"/>
    <w:rsid w:val="00D94277"/>
    <w:rsid w:val="00D9792C"/>
    <w:rsid w:val="00DB3744"/>
    <w:rsid w:val="00DB7C03"/>
    <w:rsid w:val="00DC76A6"/>
    <w:rsid w:val="00DD06C5"/>
    <w:rsid w:val="00DD581D"/>
    <w:rsid w:val="00DE27A5"/>
    <w:rsid w:val="00DE6117"/>
    <w:rsid w:val="00DF52BC"/>
    <w:rsid w:val="00DF5ECA"/>
    <w:rsid w:val="00DF690C"/>
    <w:rsid w:val="00E007BC"/>
    <w:rsid w:val="00E01C17"/>
    <w:rsid w:val="00E05FCB"/>
    <w:rsid w:val="00E11647"/>
    <w:rsid w:val="00E15E65"/>
    <w:rsid w:val="00E16084"/>
    <w:rsid w:val="00E169ED"/>
    <w:rsid w:val="00E2509E"/>
    <w:rsid w:val="00E30D89"/>
    <w:rsid w:val="00E331D7"/>
    <w:rsid w:val="00E407E0"/>
    <w:rsid w:val="00E4082F"/>
    <w:rsid w:val="00E41FBB"/>
    <w:rsid w:val="00E508A3"/>
    <w:rsid w:val="00E50D70"/>
    <w:rsid w:val="00E52550"/>
    <w:rsid w:val="00E6611C"/>
    <w:rsid w:val="00E7746B"/>
    <w:rsid w:val="00E81557"/>
    <w:rsid w:val="00E84EF9"/>
    <w:rsid w:val="00E8749D"/>
    <w:rsid w:val="00E9004D"/>
    <w:rsid w:val="00E971D2"/>
    <w:rsid w:val="00E974DE"/>
    <w:rsid w:val="00EA107E"/>
    <w:rsid w:val="00EA26DF"/>
    <w:rsid w:val="00EA4E4D"/>
    <w:rsid w:val="00EB06F8"/>
    <w:rsid w:val="00EB791D"/>
    <w:rsid w:val="00EC437D"/>
    <w:rsid w:val="00EC4FC8"/>
    <w:rsid w:val="00EC7D89"/>
    <w:rsid w:val="00EE54E8"/>
    <w:rsid w:val="00EF48C4"/>
    <w:rsid w:val="00EF6DC1"/>
    <w:rsid w:val="00F04BAA"/>
    <w:rsid w:val="00F10215"/>
    <w:rsid w:val="00F22454"/>
    <w:rsid w:val="00F23560"/>
    <w:rsid w:val="00F338CA"/>
    <w:rsid w:val="00F3718B"/>
    <w:rsid w:val="00F46CF6"/>
    <w:rsid w:val="00F52F79"/>
    <w:rsid w:val="00F64676"/>
    <w:rsid w:val="00F73F97"/>
    <w:rsid w:val="00F85CC3"/>
    <w:rsid w:val="00F930C9"/>
    <w:rsid w:val="00F94A20"/>
    <w:rsid w:val="00FA6D72"/>
    <w:rsid w:val="00FB3B26"/>
    <w:rsid w:val="00FB528E"/>
    <w:rsid w:val="00FC080E"/>
    <w:rsid w:val="00FD067F"/>
    <w:rsid w:val="00FD1E7D"/>
    <w:rsid w:val="00FD504D"/>
    <w:rsid w:val="00FE2C90"/>
    <w:rsid w:val="00FE5F54"/>
    <w:rsid w:val="00FE5F9D"/>
    <w:rsid w:val="00FE6CB0"/>
    <w:rsid w:val="00FF22BD"/>
    <w:rsid w:val="00FF59DD"/>
    <w:rsid w:val="00FF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DDF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4E425D"/>
    <w:pPr>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85448">
      <w:bodyDiv w:val="1"/>
      <w:marLeft w:val="0"/>
      <w:marRight w:val="0"/>
      <w:marTop w:val="0"/>
      <w:marBottom w:val="0"/>
      <w:divBdr>
        <w:top w:val="none" w:sz="0" w:space="0" w:color="auto"/>
        <w:left w:val="none" w:sz="0" w:space="0" w:color="auto"/>
        <w:bottom w:val="none" w:sz="0" w:space="0" w:color="auto"/>
        <w:right w:val="none" w:sz="0" w:space="0" w:color="auto"/>
      </w:divBdr>
    </w:div>
    <w:div w:id="8719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81B0A-77CC-4D8A-97F4-3DC289E7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1462</Words>
  <Characters>7883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 Audit - Template - Confined space</dc:title>
  <dc:subject>MS - Audit - Template - Confined space</dc:subject>
  <dc:creator/>
  <cp:keywords/>
  <dc:description/>
  <cp:lastModifiedBy/>
  <cp:revision>1</cp:revision>
  <dcterms:created xsi:type="dcterms:W3CDTF">2025-02-18T06:15:00Z</dcterms:created>
  <dcterms:modified xsi:type="dcterms:W3CDTF">2025-02-18T06:15:00Z</dcterms:modified>
</cp:coreProperties>
</file>