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8FE" w14:textId="77777777" w:rsidR="003C7FC2" w:rsidRDefault="00B32775" w:rsidP="003C7FC2">
      <w:pPr>
        <w:pStyle w:val="Heading1"/>
        <w:tabs>
          <w:tab w:val="right" w:pos="14459"/>
        </w:tabs>
      </w:pPr>
      <w:r>
        <w:t>Fixed plant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0CC87321" w14:textId="77777777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3CCE8DDA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0F56281" w14:textId="77777777" w:rsidR="0096683C" w:rsidRDefault="0096683C" w:rsidP="00FA6D72"/>
          <w:p w14:paraId="60D0941A" w14:textId="77777777"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Conveyors</w:t>
            </w:r>
          </w:p>
        </w:tc>
      </w:tr>
      <w:tr w:rsidR="00EA26DF" w:rsidRPr="00565D8C" w14:paraId="53681ACA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5B24B26B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5721FCD6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9DDA4F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70F49E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0926A58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6C06ACD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DF9BAF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DED8F42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14:paraId="2D9DB7EF" w14:textId="77777777" w:rsidR="00BA0877" w:rsidRDefault="004D0C25">
                  <w:r>
                    <w:t>Guards are installed to prevent a trapping hazard at the nip points of conveyor head and tail pulleys.</w:t>
                  </w:r>
                </w:p>
              </w:tc>
              <w:tc>
                <w:tcPr>
                  <w:tcW w:w="655" w:type="pct"/>
                </w:tcPr>
                <w:p w14:paraId="16A6275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F3EF99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42A850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085AC74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14:paraId="0335D67B" w14:textId="77777777" w:rsidR="00BA0877" w:rsidRDefault="004D0C25">
                  <w:r>
                    <w:t>Guards are installed to prevent a trapping hazard at the nip points of conveyor impact idler rollers.</w:t>
                  </w:r>
                </w:p>
              </w:tc>
              <w:tc>
                <w:tcPr>
                  <w:tcW w:w="655" w:type="pct"/>
                </w:tcPr>
                <w:p w14:paraId="4371D53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10DA97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429287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E3E5F1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14:paraId="69D3033A" w14:textId="77777777" w:rsidR="00BA0877" w:rsidRDefault="004D0C25">
                  <w:r>
                    <w:t>Guards are installed to prevent a trapping hazard at the nip points of accessible conveyor return idler rollers.</w:t>
                  </w:r>
                </w:p>
              </w:tc>
              <w:tc>
                <w:tcPr>
                  <w:tcW w:w="655" w:type="pct"/>
                </w:tcPr>
                <w:p w14:paraId="5F2FAB0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2C1E98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6C7C52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A02A5E3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14:paraId="32A2DFF0" w14:textId="77777777" w:rsidR="00BA0877" w:rsidRDefault="004D0C25">
                  <w:r>
                    <w:t>An emergency stop device is provided along the accessible length of a conveyor.</w:t>
                  </w:r>
                </w:p>
              </w:tc>
              <w:tc>
                <w:tcPr>
                  <w:tcW w:w="655" w:type="pct"/>
                </w:tcPr>
                <w:p w14:paraId="2D75D84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CF7BAD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A063BB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8E2B34C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14:paraId="4C052D72" w14:textId="77777777" w:rsidR="00BA0877" w:rsidRDefault="004D0C25">
                  <w:r>
                    <w:t>A means of access is provided for the inspection and maintenance of all sections of a conveyor.</w:t>
                  </w:r>
                </w:p>
              </w:tc>
              <w:tc>
                <w:tcPr>
                  <w:tcW w:w="655" w:type="pct"/>
                </w:tcPr>
                <w:p w14:paraId="7DAD492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BDC35B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4A975E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C2EEF1E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14:paraId="5F983ED8" w14:textId="77777777" w:rsidR="00BA0877" w:rsidRDefault="004D0C25">
                  <w:r>
                    <w:t>Conveyor belt take-up devices are guarded.</w:t>
                  </w:r>
                </w:p>
              </w:tc>
              <w:tc>
                <w:tcPr>
                  <w:tcW w:w="655" w:type="pct"/>
                </w:tcPr>
                <w:p w14:paraId="6EAFC28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7C5A72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4CF846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41DF63E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14:paraId="5C7C66A3" w14:textId="77777777" w:rsidR="00BA0877" w:rsidRDefault="004D0C25">
                  <w:r>
                    <w:t>Conveyor drives are guarded.</w:t>
                  </w:r>
                </w:p>
              </w:tc>
              <w:tc>
                <w:tcPr>
                  <w:tcW w:w="655" w:type="pct"/>
                </w:tcPr>
                <w:p w14:paraId="2B7A6B4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273855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8B4736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816E11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14:paraId="00C63DCC" w14:textId="77777777" w:rsidR="00BA0877" w:rsidRDefault="004D0C25">
                  <w:r>
                    <w:t>The accesses to lubrication points are remote from the moving parts of a conveyor.</w:t>
                  </w:r>
                </w:p>
              </w:tc>
              <w:tc>
                <w:tcPr>
                  <w:tcW w:w="655" w:type="pct"/>
                </w:tcPr>
                <w:p w14:paraId="503D7A0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1800E6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696DFA1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DBB4FC5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14:paraId="65EFF1E2" w14:textId="77777777" w:rsidR="00BA0877" w:rsidRDefault="004D0C25">
                  <w:r>
                    <w:t>Lighting is provided along the access walkways, at transfer points and at the drive and return heads of conveyors.</w:t>
                  </w:r>
                </w:p>
              </w:tc>
              <w:tc>
                <w:tcPr>
                  <w:tcW w:w="655" w:type="pct"/>
                </w:tcPr>
                <w:p w14:paraId="411F699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D2243F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407061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50E0F9B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14:paraId="3779B1A2" w14:textId="77777777" w:rsidR="00BA0877" w:rsidRDefault="004D0C25">
                  <w:r>
                    <w:t xml:space="preserve">Anti - runaway devices are fitted on inclined </w:t>
                  </w:r>
                  <w:r>
                    <w:lastRenderedPageBreak/>
                    <w:t>conveyors.</w:t>
                  </w:r>
                </w:p>
              </w:tc>
              <w:tc>
                <w:tcPr>
                  <w:tcW w:w="655" w:type="pct"/>
                </w:tcPr>
                <w:p w14:paraId="52A0654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E5AFF7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437FC1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C81916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1.11</w:t>
                  </w:r>
                </w:p>
              </w:tc>
              <w:tc>
                <w:tcPr>
                  <w:tcW w:w="4453" w:type="dxa"/>
                </w:tcPr>
                <w:p w14:paraId="61B4B9BE" w14:textId="77777777" w:rsidR="00BA0877" w:rsidRDefault="004D0C25">
                  <w:r>
                    <w:t>Pre-start warnings are provided prior to the starting up of conveyors.</w:t>
                  </w:r>
                </w:p>
              </w:tc>
              <w:tc>
                <w:tcPr>
                  <w:tcW w:w="655" w:type="pct"/>
                </w:tcPr>
                <w:p w14:paraId="6D46A23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9CACD6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72CD9207" w14:textId="77777777" w:rsidR="00BA0877" w:rsidRDefault="00BA0877"/>
        </w:tc>
      </w:tr>
      <w:tr w:rsidR="00EA26DF" w:rsidRPr="00565D8C" w14:paraId="1CC73A2C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5BD8A826" w14:textId="77777777" w:rsidR="0096683C" w:rsidRDefault="0096683C" w:rsidP="00FA6D72"/>
          <w:p w14:paraId="21B7A1CF" w14:textId="77777777"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Crushers</w:t>
            </w:r>
          </w:p>
        </w:tc>
      </w:tr>
      <w:tr w:rsidR="00EA26DF" w:rsidRPr="00565D8C" w14:paraId="23C4D98F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220F77C3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EA1DF68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6723C25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77A3C2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17623614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2DC1608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02246B3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3047EFC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14:paraId="6E885A18" w14:textId="77777777" w:rsidR="00BA0877" w:rsidRDefault="004D0C25">
                  <w:r>
                    <w:t>Signs requiring the wearing of eye and hearing protection are located at all the entrances to crusher areas.</w:t>
                  </w:r>
                </w:p>
              </w:tc>
              <w:tc>
                <w:tcPr>
                  <w:tcW w:w="655" w:type="pct"/>
                </w:tcPr>
                <w:p w14:paraId="7FF52EA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C0C624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6BA15C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A31A97E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14:paraId="6E402D6D" w14:textId="77777777" w:rsidR="00BA0877" w:rsidRDefault="004D0C25">
                  <w:r>
                    <w:t>Guards are installed at crusher drives.</w:t>
                  </w:r>
                </w:p>
              </w:tc>
              <w:tc>
                <w:tcPr>
                  <w:tcW w:w="655" w:type="pct"/>
                </w:tcPr>
                <w:p w14:paraId="2F1B999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0E044B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3529DF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BE2243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14:paraId="5D9469A2" w14:textId="77777777" w:rsidR="00BA0877" w:rsidRDefault="004D0C25">
                  <w:r>
                    <w:t>Personnel who operate crushers have been advised as to the hazards of tramp metal and other items being expelled from crusher jaws.</w:t>
                  </w:r>
                </w:p>
              </w:tc>
              <w:tc>
                <w:tcPr>
                  <w:tcW w:w="655" w:type="pct"/>
                </w:tcPr>
                <w:p w14:paraId="21A55E4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01E3E8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9070F2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383A291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14:paraId="3C005C3C" w14:textId="77777777" w:rsidR="00BA0877" w:rsidRDefault="004D0C25">
                  <w:r>
                    <w:t>Documented safe work procedures are provided for the removal of material that has become jammed in a crusher.</w:t>
                  </w:r>
                </w:p>
              </w:tc>
              <w:tc>
                <w:tcPr>
                  <w:tcW w:w="655" w:type="pct"/>
                </w:tcPr>
                <w:p w14:paraId="74DF462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494517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AB4FE3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DC8CA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14:paraId="4E0DB651" w14:textId="77777777" w:rsidR="00BA0877" w:rsidRDefault="004D0C25">
                  <w:r>
                    <w:t>Personnel have been trained in the safe procedures for removing jammed materials from a crusher.</w:t>
                  </w:r>
                </w:p>
              </w:tc>
              <w:tc>
                <w:tcPr>
                  <w:tcW w:w="655" w:type="pct"/>
                </w:tcPr>
                <w:p w14:paraId="7F1829B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D05986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C8C070D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C8A3AEF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14:paraId="6E03B551" w14:textId="77777777" w:rsidR="00BA0877" w:rsidRDefault="004D0C25">
                  <w:r>
                    <w:t>Documented safe work procedures are provided for crusher maintenance.</w:t>
                  </w:r>
                </w:p>
              </w:tc>
              <w:tc>
                <w:tcPr>
                  <w:tcW w:w="655" w:type="pct"/>
                </w:tcPr>
                <w:p w14:paraId="1F4FE41B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6EEA71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2F74953" w14:textId="77777777" w:rsidR="00BA0877" w:rsidRDefault="00BA0877"/>
        </w:tc>
      </w:tr>
      <w:tr w:rsidR="00EA26DF" w:rsidRPr="00565D8C" w14:paraId="1F1DE327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51DB05B6" w14:textId="77777777" w:rsidR="0096683C" w:rsidRDefault="0096683C" w:rsidP="00FA6D72"/>
          <w:p w14:paraId="5A76EAE3" w14:textId="77777777"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Rotating mills</w:t>
            </w:r>
          </w:p>
        </w:tc>
      </w:tr>
      <w:tr w:rsidR="00EA26DF" w:rsidRPr="00565D8C" w14:paraId="31F93F32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58A01D18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7197D5BB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1188F7F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E9D74D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0997C867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1EEFD3A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32255B1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8EF50E1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14:paraId="3FFEC1F2" w14:textId="77777777" w:rsidR="00BA0877" w:rsidRDefault="004D0C25">
                  <w:r>
                    <w:t>Mill drives and other rotating elements are guarded.</w:t>
                  </w:r>
                </w:p>
              </w:tc>
              <w:tc>
                <w:tcPr>
                  <w:tcW w:w="655" w:type="pct"/>
                </w:tcPr>
                <w:p w14:paraId="2B63449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A4A5ED9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ABB0B2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E2433EE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3.2</w:t>
                  </w:r>
                </w:p>
              </w:tc>
              <w:tc>
                <w:tcPr>
                  <w:tcW w:w="4453" w:type="dxa"/>
                </w:tcPr>
                <w:p w14:paraId="2DE9229B" w14:textId="77777777" w:rsidR="00BA0877" w:rsidRDefault="004D0C25">
                  <w:r>
                    <w:t>Documented safe work procedures are provided for mill maintenance.</w:t>
                  </w:r>
                </w:p>
              </w:tc>
              <w:tc>
                <w:tcPr>
                  <w:tcW w:w="655" w:type="pct"/>
                </w:tcPr>
                <w:p w14:paraId="63E1526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623E95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4A82752" w14:textId="77777777" w:rsidR="00BA0877" w:rsidRDefault="00BA0877"/>
        </w:tc>
      </w:tr>
      <w:tr w:rsidR="00EA26DF" w:rsidRPr="00565D8C" w14:paraId="48C402F9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41FA22CD" w14:textId="77777777" w:rsidR="0096683C" w:rsidRDefault="0096683C" w:rsidP="00FA6D72"/>
          <w:p w14:paraId="3415F0CF" w14:textId="77777777"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Walkways and platforms</w:t>
            </w:r>
          </w:p>
        </w:tc>
      </w:tr>
      <w:tr w:rsidR="00EA26DF" w:rsidRPr="00565D8C" w14:paraId="45AC865A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22B2F921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7355C75A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70C255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800E62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158A2975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065255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5CE609E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CCDBE9B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14:paraId="3C162457" w14:textId="77777777" w:rsidR="00BA0877" w:rsidRDefault="004D0C25">
                  <w:r>
                    <w:t>Fixed plant has platforms and walkways installed for everyday operational purposes.</w:t>
                  </w:r>
                </w:p>
              </w:tc>
              <w:tc>
                <w:tcPr>
                  <w:tcW w:w="655" w:type="pct"/>
                </w:tcPr>
                <w:p w14:paraId="387CE3E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A3F63D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29C834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175BE9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14:paraId="1B2D9D76" w14:textId="77777777" w:rsidR="00BA0877" w:rsidRDefault="004D0C25">
                  <w:r>
                    <w:t>Fixed plant has platforms and walkways provided for maintenance and/or cleaning purposes.</w:t>
                  </w:r>
                </w:p>
              </w:tc>
              <w:tc>
                <w:tcPr>
                  <w:tcW w:w="655" w:type="pct"/>
                </w:tcPr>
                <w:p w14:paraId="3FFE8AF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325F7B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BF7C9B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96591F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14:paraId="589E642A" w14:textId="77777777" w:rsidR="00BA0877" w:rsidRDefault="004D0C25">
                  <w:r>
                    <w:t>Platforms and walkways are no less than 600mm in width.</w:t>
                  </w:r>
                </w:p>
              </w:tc>
              <w:tc>
                <w:tcPr>
                  <w:tcW w:w="655" w:type="pct"/>
                </w:tcPr>
                <w:p w14:paraId="4F75742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7F5CE4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2673E8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C0273B5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14:paraId="151DB4C2" w14:textId="77777777" w:rsidR="00BA0877" w:rsidRDefault="004D0C25">
                  <w:r>
                    <w:t>Guards and handrails are provided for platforms and walkways.</w:t>
                  </w:r>
                </w:p>
              </w:tc>
              <w:tc>
                <w:tcPr>
                  <w:tcW w:w="655" w:type="pct"/>
                </w:tcPr>
                <w:p w14:paraId="2FAC2D5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B53A17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104FEB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DD6C6A3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14:paraId="138F5640" w14:textId="77777777" w:rsidR="00BA0877" w:rsidRDefault="004D0C25">
                  <w:r>
                    <w:t>Platforms and walkway have kick boards fitted.</w:t>
                  </w:r>
                </w:p>
              </w:tc>
              <w:tc>
                <w:tcPr>
                  <w:tcW w:w="655" w:type="pct"/>
                </w:tcPr>
                <w:p w14:paraId="7CEC927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ABBC86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C7E9AA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7ABF19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14:paraId="0A602286" w14:textId="77777777" w:rsidR="00BA0877" w:rsidRDefault="004D0C25">
                  <w:r>
                    <w:t>Platforms and walkways are free from trip hazards.</w:t>
                  </w:r>
                </w:p>
              </w:tc>
              <w:tc>
                <w:tcPr>
                  <w:tcW w:w="655" w:type="pct"/>
                </w:tcPr>
                <w:p w14:paraId="25191B0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F2F167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9CA0F3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00631F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14:paraId="29E75D4D" w14:textId="77777777" w:rsidR="00BA0877" w:rsidRDefault="004D0C25">
                  <w:r>
                    <w:t>Inclined walkways have cleats installed or are fitted with a non - slip type material.</w:t>
                  </w:r>
                </w:p>
              </w:tc>
              <w:tc>
                <w:tcPr>
                  <w:tcW w:w="655" w:type="pct"/>
                </w:tcPr>
                <w:p w14:paraId="2BF31FE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91C9D4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67B5D4AB" w14:textId="77777777" w:rsidR="00BA0877" w:rsidRDefault="00BA0877"/>
        </w:tc>
      </w:tr>
      <w:tr w:rsidR="00EA26DF" w:rsidRPr="00565D8C" w14:paraId="4018F81D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6AB098F" w14:textId="77777777" w:rsidR="0096683C" w:rsidRDefault="0096683C" w:rsidP="00FA6D72"/>
          <w:p w14:paraId="6A9A64C6" w14:textId="77777777"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Access ladders and stairways</w:t>
            </w:r>
          </w:p>
        </w:tc>
      </w:tr>
      <w:tr w:rsidR="00EA26DF" w:rsidRPr="00565D8C" w14:paraId="46D96322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18F357DD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765D5B09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4A7E7F45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1E5469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03D113FA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06F8157F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52B33B6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67A676B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14:paraId="50DE7D83" w14:textId="77777777" w:rsidR="00BA0877" w:rsidRDefault="004D0C25">
                  <w:r>
                    <w:t>Stairway width is not less than 600 mm.</w:t>
                  </w:r>
                </w:p>
              </w:tc>
              <w:tc>
                <w:tcPr>
                  <w:tcW w:w="655" w:type="pct"/>
                </w:tcPr>
                <w:p w14:paraId="0281FE5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007B4E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F2AB9F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0FB1EE9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14:paraId="7CDD9C78" w14:textId="77777777" w:rsidR="00BA0877" w:rsidRDefault="004D0C25">
                  <w:r>
                    <w:t>Step rises on stairways are between 150 and 215 mm and are of a uniform dimension.</w:t>
                  </w:r>
                </w:p>
              </w:tc>
              <w:tc>
                <w:tcPr>
                  <w:tcW w:w="655" w:type="pct"/>
                </w:tcPr>
                <w:p w14:paraId="5CC8A0E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7D19AC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5A0808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52D79D3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5.3</w:t>
                  </w:r>
                </w:p>
              </w:tc>
              <w:tc>
                <w:tcPr>
                  <w:tcW w:w="4453" w:type="dxa"/>
                </w:tcPr>
                <w:p w14:paraId="3CA74A80" w14:textId="77777777" w:rsidR="00BA0877" w:rsidRDefault="004D0C25">
                  <w:r>
                    <w:t>Step goings on stairways are between 215 and 305 mm and are of a uniform dimension.</w:t>
                  </w:r>
                </w:p>
              </w:tc>
              <w:tc>
                <w:tcPr>
                  <w:tcW w:w="655" w:type="pct"/>
                </w:tcPr>
                <w:p w14:paraId="78E1E8D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DAE5FD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074E36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96F42F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14:paraId="2C69A147" w14:textId="77777777" w:rsidR="00BA0877" w:rsidRDefault="004D0C25">
                  <w:r>
                    <w:t>The vertical clearance between the tread nosing on stairways and overhead obstructions is not less than 2000 mm.</w:t>
                  </w:r>
                </w:p>
              </w:tc>
              <w:tc>
                <w:tcPr>
                  <w:tcW w:w="655" w:type="pct"/>
                </w:tcPr>
                <w:p w14:paraId="6B5CF19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7AC1A2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AE641E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F43A81A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14:paraId="5194B932" w14:textId="77777777" w:rsidR="00BA0877" w:rsidRDefault="004D0C25">
                  <w:r>
                    <w:t>At least one side of a stairway is provided with a handrail which is located on the exposed side.</w:t>
                  </w:r>
                </w:p>
              </w:tc>
              <w:tc>
                <w:tcPr>
                  <w:tcW w:w="655" w:type="pct"/>
                </w:tcPr>
                <w:p w14:paraId="5191A58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B8726B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33BFF4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E7B36E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14:paraId="77F6ED3F" w14:textId="77777777" w:rsidR="00BA0877" w:rsidRDefault="004D0C25">
                  <w:r>
                    <w:t>Where there is a fall hazard associated with a rung type ladder cages or guards have been installed.</w:t>
                  </w:r>
                </w:p>
              </w:tc>
              <w:tc>
                <w:tcPr>
                  <w:tcW w:w="655" w:type="pct"/>
                </w:tcPr>
                <w:p w14:paraId="56F8913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8E779E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8DC42B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FBD7D1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14:paraId="1374D8F1" w14:textId="77777777" w:rsidR="00BA0877" w:rsidRDefault="004D0C25">
                  <w:r>
                    <w:t>The stiles of a step through ladder extend at least 900 mm above the landing.</w:t>
                  </w:r>
                </w:p>
              </w:tc>
              <w:tc>
                <w:tcPr>
                  <w:tcW w:w="655" w:type="pct"/>
                </w:tcPr>
                <w:p w14:paraId="04B34A2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D30814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BE5C60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4F8D3C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14:paraId="48E15D06" w14:textId="77777777" w:rsidR="00BA0877" w:rsidRDefault="004D0C25">
                  <w:r>
                    <w:t>The spacing of ladder rungs is between 250 and 300 mm and is uniform, with rungs no less than 20mm in diameter and preferably not vertical.</w:t>
                  </w:r>
                </w:p>
              </w:tc>
              <w:tc>
                <w:tcPr>
                  <w:tcW w:w="655" w:type="pct"/>
                </w:tcPr>
                <w:p w14:paraId="08BA7FF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5CB862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58EAE829" w14:textId="77777777" w:rsidR="00BA0877" w:rsidRDefault="00BA0877"/>
        </w:tc>
      </w:tr>
      <w:tr w:rsidR="00EA26DF" w:rsidRPr="00565D8C" w14:paraId="769D3A1E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1CBCDAF5" w14:textId="77777777" w:rsidR="0096683C" w:rsidRDefault="0096683C" w:rsidP="00FA6D72"/>
          <w:p w14:paraId="1428A70C" w14:textId="77777777"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Electrical installations</w:t>
            </w:r>
          </w:p>
        </w:tc>
      </w:tr>
      <w:tr w:rsidR="00EA26DF" w:rsidRPr="00565D8C" w14:paraId="2B642E97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08CB8B09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5EF2E564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03A18EBF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67EDEAE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D58D477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43DBB67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50C5EBF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7570D17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14:paraId="519DE413" w14:textId="77777777" w:rsidR="00BA0877" w:rsidRDefault="004D0C25">
                  <w:r>
                    <w:t>Individual items of fixed plant have an electrical isolating device.</w:t>
                  </w:r>
                </w:p>
              </w:tc>
              <w:tc>
                <w:tcPr>
                  <w:tcW w:w="655" w:type="pct"/>
                </w:tcPr>
                <w:p w14:paraId="31439A0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977B77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2CB763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3F9D16C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14:paraId="31E3F7A6" w14:textId="77777777" w:rsidR="00BA0877" w:rsidRDefault="004D0C25">
                  <w:r>
                    <w:t>Isolation switches are clearly labelled.</w:t>
                  </w:r>
                </w:p>
              </w:tc>
              <w:tc>
                <w:tcPr>
                  <w:tcW w:w="655" w:type="pct"/>
                </w:tcPr>
                <w:p w14:paraId="11A065D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170787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F4827DE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28383F6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14:paraId="7A6A35A0" w14:textId="77777777" w:rsidR="00BA0877" w:rsidRDefault="004D0C25">
                  <w:r>
                    <w:t>Isolation switches have a provision for being locked in the isolated position.</w:t>
                  </w:r>
                </w:p>
              </w:tc>
              <w:tc>
                <w:tcPr>
                  <w:tcW w:w="655" w:type="pct"/>
                </w:tcPr>
                <w:p w14:paraId="5798435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75C698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ABF0E9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E2E5DB9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14:paraId="23CE2F3E" w14:textId="77777777" w:rsidR="00BA0877" w:rsidRDefault="004D0C25">
                  <w:r>
                    <w:t>Isolation switches have a provision for the attachment of tags.</w:t>
                  </w:r>
                </w:p>
              </w:tc>
              <w:tc>
                <w:tcPr>
                  <w:tcW w:w="655" w:type="pct"/>
                </w:tcPr>
                <w:p w14:paraId="37F7175E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D4853A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EF44D1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E9F31D7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14:paraId="0C47B224" w14:textId="77777777" w:rsidR="00BA0877" w:rsidRDefault="004D0C25">
                  <w:r>
                    <w:t>Electrical cables are adequately supported.</w:t>
                  </w:r>
                </w:p>
              </w:tc>
              <w:tc>
                <w:tcPr>
                  <w:tcW w:w="655" w:type="pct"/>
                </w:tcPr>
                <w:p w14:paraId="3589C8E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1EDE84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26FF8DD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D3D999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6.6</w:t>
                  </w:r>
                </w:p>
              </w:tc>
              <w:tc>
                <w:tcPr>
                  <w:tcW w:w="4453" w:type="dxa"/>
                </w:tcPr>
                <w:p w14:paraId="5F3ADFFE" w14:textId="77777777" w:rsidR="00BA0877" w:rsidRDefault="004D0C25">
                  <w:r>
                    <w:t>Electrical cables and equipment are not damaged.</w:t>
                  </w:r>
                </w:p>
              </w:tc>
              <w:tc>
                <w:tcPr>
                  <w:tcW w:w="655" w:type="pct"/>
                </w:tcPr>
                <w:p w14:paraId="70B009C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C7531A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4F162B3" w14:textId="77777777" w:rsidR="00BA0877" w:rsidRDefault="00BA0877"/>
        </w:tc>
      </w:tr>
      <w:tr w:rsidR="00EA26DF" w:rsidRPr="00565D8C" w14:paraId="2AE48C3E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3D5C2E39" w14:textId="77777777" w:rsidR="0096683C" w:rsidRDefault="0096683C" w:rsidP="00FA6D72"/>
          <w:p w14:paraId="1466129B" w14:textId="77777777"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Cleaning arrangements</w:t>
            </w:r>
          </w:p>
        </w:tc>
      </w:tr>
      <w:tr w:rsidR="00EA26DF" w:rsidRPr="00565D8C" w14:paraId="09D331CE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1CE4E863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603F50B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14B3EAD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554521E1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5831A488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0381CF8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49AAB22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0DC6FE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14:paraId="23BDC0A5" w14:textId="77777777" w:rsidR="00BA0877" w:rsidRDefault="004D0C25">
                  <w:r>
                    <w:t>The hazards associated with the manual cleaning of fixed plant have been determined.</w:t>
                  </w:r>
                </w:p>
              </w:tc>
              <w:tc>
                <w:tcPr>
                  <w:tcW w:w="655" w:type="pct"/>
                </w:tcPr>
                <w:p w14:paraId="4194379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E262D7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6ADDFF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480608C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14:paraId="3C04BC6B" w14:textId="77777777" w:rsidR="00BA0877" w:rsidRDefault="004D0C25">
                  <w:r>
                    <w:t>The hazards associated with the mechanical cleaning of fixed plant have been determined.</w:t>
                  </w:r>
                </w:p>
              </w:tc>
              <w:tc>
                <w:tcPr>
                  <w:tcW w:w="655" w:type="pct"/>
                </w:tcPr>
                <w:p w14:paraId="1CBD1B6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DD02F2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212E62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77680D7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14:paraId="48399E15" w14:textId="77777777" w:rsidR="00BA0877" w:rsidRDefault="004D0C25">
                  <w:r>
                    <w:t>The hazards associated with cleaning down fixed plant with a water hose have been determined.</w:t>
                  </w:r>
                </w:p>
              </w:tc>
              <w:tc>
                <w:tcPr>
                  <w:tcW w:w="655" w:type="pct"/>
                </w:tcPr>
                <w:p w14:paraId="65726DA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1E4D02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3E2E78C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A151D32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14:paraId="770DE0B3" w14:textId="77777777" w:rsidR="00BA0877" w:rsidRDefault="004D0C25">
                  <w:r>
                    <w:t>The hazards associated with cleaning fixed plant whilst it is in operation have been determined.</w:t>
                  </w:r>
                </w:p>
              </w:tc>
              <w:tc>
                <w:tcPr>
                  <w:tcW w:w="655" w:type="pct"/>
                </w:tcPr>
                <w:p w14:paraId="6A72358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A7D4C3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3F9575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2D9DDD1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14:paraId="5B1F93C9" w14:textId="77777777" w:rsidR="00BA0877" w:rsidRDefault="004D0C25">
                  <w:r>
                    <w:t>Spillage around fixed plant does not present a hazard.</w:t>
                  </w:r>
                </w:p>
              </w:tc>
              <w:tc>
                <w:tcPr>
                  <w:tcW w:w="655" w:type="pct"/>
                </w:tcPr>
                <w:p w14:paraId="65755F5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2D72D7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F99C97A" w14:textId="77777777" w:rsidR="00BA0877" w:rsidRDefault="00BA0877"/>
        </w:tc>
      </w:tr>
      <w:tr w:rsidR="00EA26DF" w:rsidRPr="00565D8C" w14:paraId="05048433" w14:textId="77777777" w:rsidTr="005A5422">
        <w:trPr>
          <w:trHeight w:val="387"/>
        </w:trPr>
        <w:tc>
          <w:tcPr>
            <w:tcW w:w="5000" w:type="pct"/>
            <w:shd w:val="clear" w:color="auto" w:fill="auto"/>
          </w:tcPr>
          <w:p w14:paraId="062A4F35" w14:textId="77777777" w:rsidR="0096683C" w:rsidRDefault="0096683C" w:rsidP="00FA6D72"/>
          <w:p w14:paraId="202D4D8B" w14:textId="77777777"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Plant under pressure</w:t>
            </w:r>
          </w:p>
        </w:tc>
      </w:tr>
      <w:tr w:rsidR="00EA26DF" w:rsidRPr="00565D8C" w14:paraId="51F32EC1" w14:textId="77777777" w:rsidTr="005A5422">
        <w:trPr>
          <w:trHeight w:val="586"/>
        </w:trPr>
        <w:tc>
          <w:tcPr>
            <w:tcW w:w="5000" w:type="pct"/>
            <w:shd w:val="clear" w:color="auto" w:fill="auto"/>
          </w:tcPr>
          <w:p w14:paraId="19503C92" w14:textId="77777777"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BECF6F1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6306EAD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B12C12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1989F5DA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5CA974A6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ABCE54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CCA784E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14:paraId="7E7632CE" w14:textId="77777777" w:rsidR="00BA0877" w:rsidRDefault="004D0C25">
                  <w:r>
                    <w:t>Pressure vessels comply with a recognised standard.</w:t>
                  </w:r>
                </w:p>
              </w:tc>
              <w:tc>
                <w:tcPr>
                  <w:tcW w:w="655" w:type="pct"/>
                </w:tcPr>
                <w:p w14:paraId="17880D63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9764EE1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E84EEE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BB3CE73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14:paraId="2C03D178" w14:textId="77777777" w:rsidR="00BA0877" w:rsidRDefault="004D0C25">
                  <w:r>
                    <w:t>Pressure vessels are inspected and maintained.</w:t>
                  </w:r>
                </w:p>
              </w:tc>
              <w:tc>
                <w:tcPr>
                  <w:tcW w:w="655" w:type="pct"/>
                </w:tcPr>
                <w:p w14:paraId="2987AB3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4BFD61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097FB5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CCEA0E9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14:paraId="0DFFE7EF" w14:textId="77777777" w:rsidR="00BA0877" w:rsidRDefault="004D0C25">
                  <w:r>
                    <w:t>Pressure piping is adequately supported.</w:t>
                  </w:r>
                </w:p>
              </w:tc>
              <w:tc>
                <w:tcPr>
                  <w:tcW w:w="655" w:type="pct"/>
                </w:tcPr>
                <w:p w14:paraId="2D7174C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499853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5D10FD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1926F0F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14:paraId="09BB513E" w14:textId="77777777" w:rsidR="00BA0877" w:rsidRDefault="004D0C25">
                  <w:r>
                    <w:t>Pressure piping is labelled in order to identify the contents, direction of flow and line pressure.</w:t>
                  </w:r>
                </w:p>
              </w:tc>
              <w:tc>
                <w:tcPr>
                  <w:tcW w:w="655" w:type="pct"/>
                </w:tcPr>
                <w:p w14:paraId="7228733D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4D9E27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10241F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059C8E8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8.5</w:t>
                  </w:r>
                </w:p>
              </w:tc>
              <w:tc>
                <w:tcPr>
                  <w:tcW w:w="4453" w:type="dxa"/>
                </w:tcPr>
                <w:p w14:paraId="4F7D3449" w14:textId="77777777" w:rsidR="00BA0877" w:rsidRDefault="004D0C25">
                  <w:r>
                    <w:t>Flexible hose is rated for the maximum available operating pressure.</w:t>
                  </w:r>
                </w:p>
              </w:tc>
              <w:tc>
                <w:tcPr>
                  <w:tcW w:w="655" w:type="pct"/>
                </w:tcPr>
                <w:p w14:paraId="114BC3B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2A00C3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BFA1C2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EA8CD2F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14:paraId="2CD4700C" w14:textId="77777777" w:rsidR="00BA0877" w:rsidRDefault="004D0C25">
                  <w:r>
                    <w:t>Flexible hose is rated for the temperatures and types of fluid to be conveyed.</w:t>
                  </w:r>
                </w:p>
              </w:tc>
              <w:tc>
                <w:tcPr>
                  <w:tcW w:w="655" w:type="pct"/>
                </w:tcPr>
                <w:p w14:paraId="6CDB4C7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411050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E122CA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516083D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14:paraId="0946D55E" w14:textId="77777777" w:rsidR="00BA0877" w:rsidRDefault="004D0C25">
                  <w:r>
                    <w:t>Flexible hose connections are designed such that they are incapable of being unintentionally disconnected.</w:t>
                  </w:r>
                </w:p>
              </w:tc>
              <w:tc>
                <w:tcPr>
                  <w:tcW w:w="655" w:type="pct"/>
                </w:tcPr>
                <w:p w14:paraId="7D743C6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3D4F25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3A2C1D7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A4830BA" w14:textId="77777777" w:rsidR="00BA0877" w:rsidRDefault="004D0C2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14:paraId="7E822788" w14:textId="77777777" w:rsidR="00BA0877" w:rsidRDefault="004D0C25">
                  <w:r>
                    <w:t>The specifications of the flexible hose fitting manufacturer are compatible with those of the flexible hose manufacturer and any assembly is done in accordance with the manufacturer’s instructions.</w:t>
                  </w:r>
                </w:p>
              </w:tc>
              <w:tc>
                <w:tcPr>
                  <w:tcW w:w="655" w:type="pct"/>
                </w:tcPr>
                <w:p w14:paraId="6233960C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0103E1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972BE16" w14:textId="77777777" w:rsidR="00BA0877" w:rsidRDefault="00BA0877"/>
        </w:tc>
      </w:tr>
    </w:tbl>
    <w:p w14:paraId="79557701" w14:textId="77777777" w:rsidR="00085FE0" w:rsidRDefault="00085FE0"/>
    <w:sectPr w:rsidR="00085FE0" w:rsidSect="00DE27A5">
      <w:headerReference w:type="default" r:id="rId11"/>
      <w:footerReference w:type="default" r:id="rId12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D8E2" w14:textId="77777777" w:rsidR="00966210" w:rsidRDefault="00966210">
      <w:r>
        <w:separator/>
      </w:r>
    </w:p>
  </w:endnote>
  <w:endnote w:type="continuationSeparator" w:id="0">
    <w:p w14:paraId="39447139" w14:textId="77777777"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6EFD" w14:textId="77777777" w:rsidR="00D34D5F" w:rsidRPr="006746A8" w:rsidRDefault="00B32775" w:rsidP="006746A8">
    <w:pPr>
      <w:pStyle w:val="Footer"/>
      <w:tabs>
        <w:tab w:val="right" w:pos="14459"/>
      </w:tabs>
    </w:pPr>
    <w:r>
      <w:t>Fixed plant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4D0C25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4D0C25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AB6AC" w14:textId="77777777" w:rsidR="00966210" w:rsidRDefault="00966210">
      <w:r>
        <w:separator/>
      </w:r>
    </w:p>
  </w:footnote>
  <w:footnote w:type="continuationSeparator" w:id="0">
    <w:p w14:paraId="3706268C" w14:textId="77777777"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C7F1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12695">
    <w:abstractNumId w:val="21"/>
  </w:num>
  <w:num w:numId="2" w16cid:durableId="1757247999">
    <w:abstractNumId w:val="27"/>
  </w:num>
  <w:num w:numId="3" w16cid:durableId="1206530720">
    <w:abstractNumId w:val="23"/>
  </w:num>
  <w:num w:numId="4" w16cid:durableId="588585160">
    <w:abstractNumId w:val="10"/>
  </w:num>
  <w:num w:numId="5" w16cid:durableId="256983175">
    <w:abstractNumId w:val="20"/>
  </w:num>
  <w:num w:numId="6" w16cid:durableId="1311251174">
    <w:abstractNumId w:val="14"/>
  </w:num>
  <w:num w:numId="7" w16cid:durableId="1343699034">
    <w:abstractNumId w:val="18"/>
  </w:num>
  <w:num w:numId="8" w16cid:durableId="1447315321">
    <w:abstractNumId w:val="28"/>
  </w:num>
  <w:num w:numId="9" w16cid:durableId="1210871983">
    <w:abstractNumId w:val="22"/>
  </w:num>
  <w:num w:numId="10" w16cid:durableId="388771545">
    <w:abstractNumId w:val="24"/>
  </w:num>
  <w:num w:numId="11" w16cid:durableId="9457446">
    <w:abstractNumId w:val="29"/>
  </w:num>
  <w:num w:numId="12" w16cid:durableId="1766538424">
    <w:abstractNumId w:val="16"/>
  </w:num>
  <w:num w:numId="13" w16cid:durableId="334190226">
    <w:abstractNumId w:val="9"/>
  </w:num>
  <w:num w:numId="14" w16cid:durableId="831065475">
    <w:abstractNumId w:val="7"/>
  </w:num>
  <w:num w:numId="15" w16cid:durableId="1997491966">
    <w:abstractNumId w:val="6"/>
  </w:num>
  <w:num w:numId="16" w16cid:durableId="2082675024">
    <w:abstractNumId w:val="5"/>
  </w:num>
  <w:num w:numId="17" w16cid:durableId="1146357694">
    <w:abstractNumId w:val="4"/>
  </w:num>
  <w:num w:numId="18" w16cid:durableId="470439188">
    <w:abstractNumId w:val="8"/>
  </w:num>
  <w:num w:numId="19" w16cid:durableId="866405034">
    <w:abstractNumId w:val="3"/>
  </w:num>
  <w:num w:numId="20" w16cid:durableId="938678673">
    <w:abstractNumId w:val="2"/>
  </w:num>
  <w:num w:numId="21" w16cid:durableId="672223935">
    <w:abstractNumId w:val="1"/>
  </w:num>
  <w:num w:numId="22" w16cid:durableId="18481613">
    <w:abstractNumId w:val="0"/>
  </w:num>
  <w:num w:numId="23" w16cid:durableId="1722097441">
    <w:abstractNumId w:val="13"/>
  </w:num>
  <w:num w:numId="24" w16cid:durableId="1069889696">
    <w:abstractNumId w:val="26"/>
  </w:num>
  <w:num w:numId="25" w16cid:durableId="1092357362">
    <w:abstractNumId w:val="17"/>
  </w:num>
  <w:num w:numId="26" w16cid:durableId="1813717228">
    <w:abstractNumId w:val="19"/>
  </w:num>
  <w:num w:numId="27" w16cid:durableId="847404230">
    <w:abstractNumId w:val="12"/>
  </w:num>
  <w:num w:numId="28" w16cid:durableId="399132054">
    <w:abstractNumId w:val="25"/>
  </w:num>
  <w:num w:numId="29" w16cid:durableId="2024936166">
    <w:abstractNumId w:val="11"/>
  </w:num>
  <w:num w:numId="30" w16cid:durableId="1287463590">
    <w:abstractNumId w:val="30"/>
  </w:num>
  <w:num w:numId="31" w16cid:durableId="1068191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85FE0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D64C6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0C25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96EEA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877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555CB701"/>
  <w15:docId w15:val="{23A4E427-9C3B-417B-A3EA-76A592F9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975F2-7993-4C9D-83CA-2BDA11DF54B3}">
  <ds:schemaRefs>
    <ds:schemaRef ds:uri="e7c7f6fc-0c1f-4db4-bdfb-1d5a5c7fbe5d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7C7C45-AA9C-4A6A-A37A-097B90B3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2025-02-21T01:12:00Z</dcterms:created>
  <dcterms:modified xsi:type="dcterms:W3CDTF">2025-02-21T01:12:00Z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