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Management systems for small mines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Management systems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There is a current written policy statement that sets out the Safety and Health Policy of the organisation.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Contractors employed at the site are required to comply with the principal employer's Safety and Health Policy.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Management have </w:t>
                  </w:r>
                  <w:r>
                    <w:t>provided the applicable statutory mine record books required.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A current site organisation chart is available.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have established documented permit systems for certain categories of work.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 principal employer has developed </w:t>
                  </w:r>
                  <w:r>
                    <w:t>and implemented a Safety and Health Plan for the site and each work group.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have established a system of employee input with regard to safety and health.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Safety and health meetings are held.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Personal protective clothing and e</w:t>
                  </w:r>
                  <w:r>
                    <w:t>quipment (PPE) is provided to all employees at no cost.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Means of internal and external communications are available on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Induction, procedures, training and supervision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There is a safety </w:t>
                  </w:r>
                  <w:r>
                    <w:t>induction process for the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Safe systems of work have been developed and implemented by each employer.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issues clear on the job safety instructions prior to any work being commenced at the site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Personnel are trained and </w:t>
                  </w:r>
                  <w:r>
                    <w:t>assessed as competent to perform allocated tasks.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maintains a file record of each employee's training history.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have appointed competent personnel to supervise employees.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Statutory compliance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carries out its statutory responsibilities in respect to the inspection of workplaces.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Registered Manager ensures that appointed persons perform all duties imposed on them in writing under the Act.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Management has complied with the primary statutory responsibilities in respect of the installation, operation and licensing of its </w:t>
                  </w:r>
                  <w:r>
                    <w:lastRenderedPageBreak/>
                    <w:t>electrical installation.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carries out its statutory responsibilities in respect of the registration, inspect</w:t>
                  </w:r>
                  <w:r>
                    <w:t>ion and maintenance of Classified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Accident/incident reporting and investigation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have established an immediate hazard/occurrence/accident reporting, control and rectification process.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carries out its statutory responsibilities in respect of the recording and reporting of serious accidents and potentially serious accidents.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Management carries out its statutory responsibilities in respect of the recording and </w:t>
                  </w:r>
                  <w:r>
                    <w:t>reporting of injuries to workers and the total hours worked by employees and the number of employees.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carries out its statutory responsibilities in respect of the recording and reporting of occurrences and potentially serious occurrences.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Formal procedures are in place to investigate accidents, occurrences and property damage.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Occupational health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5.1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Occupational health hazards have been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Control measures are in place</w:t>
                  </w:r>
                  <w:r>
                    <w:t xml:space="preserve"> to reduce occupational health hazards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control measures implemented to reduce occupational health hazards are effective.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Employees have been educated in the occupational health hazards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 exposure level of </w:t>
                  </w:r>
                  <w:r>
                    <w:t>employees to occupational health hazards has been evaluated.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5.6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Management has caused a noise report to be compiled.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5.7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Where necessary, employees wear appropriate personal protective equipment to reduce exposure to occupational health hazards </w:t>
                  </w:r>
                  <w:r>
                    <w:t>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Behaviour and culture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Disciplinary procedures are in place for unacceptable behaviour and unsafe acts.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disciplinary procedure is enforced by management.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Mobile plant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7.1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A competent person is appointed to supervise maintenance.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There is a system of maintenance for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Records are kept for maintenance of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There is a system to make checks and </w:t>
                  </w:r>
                  <w:r>
                    <w:t>approve the arrival of all company and contractors’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There is a document to show that operator pre-start checks are carried out for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There is a procedure to report operational faults on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7.7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 </w:t>
                  </w:r>
                  <w:r>
                    <w:t>faults are rectified in an acceptable timeframe.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7.8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Operational mobile plant are provided with a functioning two way radio communication.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7.9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ROPS, where necessary, is provided and 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7.10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FOPS, where necessary, is provided and </w:t>
                  </w:r>
                  <w:r>
                    <w:t>maintained.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Mobile plant operators are trained and assessed for competency.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access road into the mine is segregated from mobile off-highway earthmoving equipment operations.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Access roads, haul roads and benches are maintained in</w:t>
                  </w:r>
                  <w:r>
                    <w:t xml:space="preserve"> safe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Fixed plant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Fixed plant drives and moving parts are suitably guarded.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Fixed plant are provided with safe access including walkways, platforms.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Fixed plant and buildings, so </w:t>
                  </w:r>
                  <w:r>
                    <w:t>far as is practicable, are provided with alternative means of egress.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walkways and platforms provide access to major items for both operation and maintenance.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Handrails and guard rails are provided for elevated walkways and platforms.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8.6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Items of fixed plant have a primary isolator.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applicable items of fixed plant have a local isolator.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8.8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isolation switches are labelled.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8.9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isolation switches have provision for securing an isolation device.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8.10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 </w:t>
                  </w:r>
                  <w:r>
                    <w:t>hazards associated with the manual cleaning of fixed plant have been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procedure for the manual cleaning of fixed plant requires that, where a hazard exists, the plant directly involved is stopped, isolated and tagged.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Workshop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lastRenderedPageBreak/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A workshop facility is provided for the maintenance of fixed and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facility is appropriate for the types of tasks undertaken.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 workshop has adequate facilities for the </w:t>
                  </w:r>
                  <w:r>
                    <w:t>stable jacking of mobile equipment.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Proper material handling and support equipment is provided for the tasks undertaken.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Adequate lighting is available for work to be carried out safely at the 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9.6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workshop facility is maintai</w:t>
                  </w:r>
                  <w:r>
                    <w:t>ned in a tidy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9.7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Signs are provided to warn of possible eye, hearing and other safety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9.8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Fire control equipment is available at the 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9.9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Machinery is maintained on a regular basis.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9.10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Gas cylinders are </w:t>
                  </w:r>
                  <w:r>
                    <w:t>restrained.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Gas hoses and gauges are free from damage.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Flash back arrestors are adequately sized and fitted to portable and mobile oxy-fuel gas systems for welding, cutting and heating metal.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Electrical tools and equipment at the </w:t>
                  </w:r>
                  <w:r>
                    <w:t>workshop are periodically checked and tagged.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Electrical welding machines are maintained in a safe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10</w:t>
            </w:r>
            <w:r w:rsidR="00EA26DF">
              <w:tab/>
            </w:r>
            <w:r>
              <w:t>Isolation and tagging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OUT OF SERVICE tags are used to warn against the use of plant </w:t>
                  </w:r>
                  <w:r>
                    <w:t>which is unsafe to be used or which may be damaged if it is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DANGER tags are used to prohibit the use of plant on which an employee is undertaking work.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Each employee removes his own DANGER tag after completing the work and prior to </w:t>
                  </w:r>
                  <w:r>
                    <w:t>leaving the worksite at the end of the shift.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OUT OF SERVICE tags are attached prior to removing DANGER tags when work on plant is not completed.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 effectiveness of devices used to isolate plant is proved prior to attaching DANGER or OUT </w:t>
                  </w:r>
                  <w:r>
                    <w:t>OF SERVICE tags.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11</w:t>
            </w:r>
            <w:r w:rsidR="00EA26DF">
              <w:tab/>
            </w:r>
            <w:r>
              <w:t>Emergency plan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11.1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operation has prepared an emergency plan.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11.2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emergency plan is known by the site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11.3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The emergency plan includes a means of employee and </w:t>
                  </w:r>
                  <w:r>
                    <w:t>visitor control.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11.4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The emergency plan identifies the types of incidents which may affect the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11.5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On-site first aid services and facilities are available at the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11.6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 xml:space="preserve">On-site fire fighting resources, include trained personnel are </w:t>
                  </w:r>
                  <w:r>
                    <w:t>available.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11.7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Muster points are installed at the site.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4C73DB" w:rsidRDefault="00CE798D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11.8</w:t>
                  </w:r>
                </w:p>
              </w:tc>
              <w:tc>
                <w:tcPr>
                  <w:tcW w:w="4453" w:type="dxa"/>
                </w:tcPr>
                <w:p w:rsidR="004C73DB" w:rsidRDefault="00CE798D">
                  <w:r>
                    <w:t>Underground sites have established a mine rescue capability including SCBA, fire fighting resources and trained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4C73DB" w:rsidRDefault="004C73DB"/>
        </w:tc>
      </w:tr>
    </w:tbl>
    <w:p w:rsidR="00000000" w:rsidRDefault="00CE798D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Management systems for small mines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CE798D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CE798D">
      <w:fldChar w:fldCharType="begin"/>
    </w:r>
    <w:r w:rsidR="00CE798D">
      <w:instrText xml:space="preserve"> NUMPAGES  \* Arabic  \* MERGEFORMAT </w:instrText>
    </w:r>
    <w:r w:rsidR="00CE798D">
      <w:fldChar w:fldCharType="separate"/>
    </w:r>
    <w:r w:rsidR="00CE798D">
      <w:rPr>
        <w:noProof/>
      </w:rPr>
      <w:t>9</w:t>
    </w:r>
    <w:r w:rsidR="00CE798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C73DB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E798D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A600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/fields"/>
    <ds:schemaRef ds:uri="e7c7f6fc-0c1f-4db4-bdfb-1d5a5c7fbe5d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013CC-8C69-4049-A087-1985470A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A0BC3787</Template>
  <TotalTime>0</TotalTime>
  <Pages>9</Pages>
  <Words>1292</Words>
  <Characters>7201</Characters>
  <Application>Microsoft Office Word</Application>
  <DocSecurity>4</DocSecurity>
  <Lines>600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2017-09-29T06:58:00Z</dcterms:created>
  <dcterms:modified xsi:type="dcterms:W3CDTF">2017-09-29T06:58:00Z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