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2AE1" w14:textId="77777777" w:rsidR="003C7FC2" w:rsidRDefault="007F750A" w:rsidP="003C7FC2">
      <w:pPr>
        <w:pStyle w:val="Heading1"/>
        <w:tabs>
          <w:tab w:val="right" w:pos="14459"/>
        </w:tabs>
      </w:pPr>
      <w:r>
        <w:t>Manual tasks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14:paraId="2F4EBF0C" w14:textId="77777777"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14:paraId="64FB9A09" w14:textId="77777777" w:rsidTr="004C3351">
        <w:trPr>
          <w:trHeight w:val="387"/>
        </w:trPr>
        <w:tc>
          <w:tcPr>
            <w:tcW w:w="5000" w:type="pct"/>
            <w:shd w:val="clear" w:color="auto" w:fill="auto"/>
          </w:tcPr>
          <w:p w14:paraId="7B0409DF" w14:textId="77777777" w:rsidR="00EA26DF" w:rsidRPr="005A754B" w:rsidRDefault="007F750A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Hazardous manual task identification</w:t>
            </w:r>
          </w:p>
        </w:tc>
      </w:tr>
      <w:tr w:rsidR="00EA26DF" w:rsidRPr="00565D8C" w14:paraId="10EBC559" w14:textId="77777777" w:rsidTr="004C3351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3C8ED6DB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3512603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7B2BF34A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021528B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96897A7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6D5F491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ED56CB2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14:paraId="6CB7BA09" w14:textId="77777777" w:rsidR="00267668" w:rsidRDefault="0085388E">
                  <w:r>
                    <w:t>Formal procedures are in place to identify potentially hazardous manual tasks.</w:t>
                  </w:r>
                </w:p>
              </w:tc>
              <w:tc>
                <w:tcPr>
                  <w:tcW w:w="655" w:type="pct"/>
                </w:tcPr>
                <w:p w14:paraId="5F68CF2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2DFC397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33ADA8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B835A34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14:paraId="79288A47" w14:textId="77777777" w:rsidR="00267668" w:rsidRDefault="0085388E">
                  <w:r>
                    <w:t>Employees are encouraged to identify and report potentially hazardous manual tasks.</w:t>
                  </w:r>
                </w:p>
              </w:tc>
              <w:tc>
                <w:tcPr>
                  <w:tcW w:w="655" w:type="pct"/>
                </w:tcPr>
                <w:p w14:paraId="234DBCB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84D296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2A9C8C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3DDE27A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14:paraId="32464B12" w14:textId="77777777" w:rsidR="00267668" w:rsidRDefault="0085388E">
                  <w:r>
                    <w:t>Procedures are in place to report injuries (musculoskeletal disorders) resulting from performing manual tasks at work.</w:t>
                  </w:r>
                </w:p>
              </w:tc>
              <w:tc>
                <w:tcPr>
                  <w:tcW w:w="655" w:type="pct"/>
                </w:tcPr>
                <w:p w14:paraId="4DBAC8D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11B75E4F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0687559B" w14:textId="77777777" w:rsidR="00267668" w:rsidRDefault="00267668"/>
        </w:tc>
      </w:tr>
      <w:tr w:rsidR="00EA26DF" w:rsidRPr="00565D8C" w14:paraId="24F32F78" w14:textId="77777777" w:rsidTr="004C3351">
        <w:trPr>
          <w:trHeight w:val="387"/>
        </w:trPr>
        <w:tc>
          <w:tcPr>
            <w:tcW w:w="5000" w:type="pct"/>
            <w:shd w:val="clear" w:color="auto" w:fill="auto"/>
          </w:tcPr>
          <w:p w14:paraId="3FFE96FD" w14:textId="77777777" w:rsidR="00EA26DF" w:rsidRPr="005A754B" w:rsidRDefault="007F750A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Assessing the risk arising from hazardous manual tasks</w:t>
            </w:r>
          </w:p>
        </w:tc>
      </w:tr>
      <w:tr w:rsidR="00EA26DF" w:rsidRPr="00565D8C" w14:paraId="1B831F5E" w14:textId="77777777" w:rsidTr="004C3351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5E10E96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070D3F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2380FF4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6CF12E1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113F66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66235BD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5F94E75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14:paraId="0843C0AA" w14:textId="77777777" w:rsidR="00267668" w:rsidRDefault="0085388E">
                  <w:r>
                    <w:t>There is a formal procedure to assess the risk arising from identified hazardous manual tasks.</w:t>
                  </w:r>
                </w:p>
              </w:tc>
              <w:tc>
                <w:tcPr>
                  <w:tcW w:w="655" w:type="pct"/>
                </w:tcPr>
                <w:p w14:paraId="2A42EB4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4492BD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152013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586987F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14:paraId="47954117" w14:textId="77777777" w:rsidR="00267668" w:rsidRDefault="0085388E">
                  <w:r>
                    <w:t>The risk assessment has considered all of the risk factors and identifies the source/s (underlying root cause/s) of the risk.</w:t>
                  </w:r>
                </w:p>
              </w:tc>
              <w:tc>
                <w:tcPr>
                  <w:tcW w:w="655" w:type="pct"/>
                </w:tcPr>
                <w:p w14:paraId="43EEDA0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D304EF6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F36934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205909E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14:paraId="6A89DDFB" w14:textId="77777777" w:rsidR="00267668" w:rsidRDefault="0085388E">
                  <w:r>
                    <w:t>The risk assessment evaluates the severity of the risk arising from the identified hazardous manual task giving consideration to:</w:t>
                  </w:r>
                  <w:r>
                    <w:br/>
                    <w:t>• the likelihood of the risk; and</w:t>
                  </w:r>
                  <w:r>
                    <w:br/>
                    <w:t>• the consequence of the risk</w:t>
                  </w:r>
                  <w:r>
                    <w:br/>
                    <w:t>and is prioritised according to existing occupational safety and health (OSH) risk management systems.</w:t>
                  </w:r>
                </w:p>
              </w:tc>
              <w:tc>
                <w:tcPr>
                  <w:tcW w:w="655" w:type="pct"/>
                </w:tcPr>
                <w:p w14:paraId="4615D0A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DF29B2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7311CF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BBE38BC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14:paraId="6B9341A9" w14:textId="77777777" w:rsidR="00267668" w:rsidRDefault="0085388E">
                  <w:r>
                    <w:t>The manual task risk assessment is completed in consultation with the employees who perform the task.</w:t>
                  </w:r>
                </w:p>
              </w:tc>
              <w:tc>
                <w:tcPr>
                  <w:tcW w:w="655" w:type="pct"/>
                </w:tcPr>
                <w:p w14:paraId="0B4AE78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3A11F0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623161D5" w14:textId="77777777" w:rsidR="00267668" w:rsidRDefault="00267668"/>
        </w:tc>
      </w:tr>
      <w:tr w:rsidR="00EA26DF" w:rsidRPr="00565D8C" w14:paraId="791B8A4F" w14:textId="77777777" w:rsidTr="004C3351">
        <w:trPr>
          <w:trHeight w:val="387"/>
        </w:trPr>
        <w:tc>
          <w:tcPr>
            <w:tcW w:w="5000" w:type="pct"/>
            <w:shd w:val="clear" w:color="auto" w:fill="auto"/>
          </w:tcPr>
          <w:p w14:paraId="10571DB6" w14:textId="77777777" w:rsidR="00EA26DF" w:rsidRPr="005A754B" w:rsidRDefault="007F750A" w:rsidP="004C3351">
            <w:pPr>
              <w:pStyle w:val="Heading1"/>
            </w:pPr>
            <w:r>
              <w:lastRenderedPageBreak/>
              <w:t>3</w:t>
            </w:r>
            <w:r w:rsidR="00EA26DF">
              <w:tab/>
            </w:r>
            <w:r>
              <w:t>Hazardous manual task risk control</w:t>
            </w:r>
          </w:p>
        </w:tc>
      </w:tr>
      <w:tr w:rsidR="00EA26DF" w:rsidRPr="00565D8C" w14:paraId="5072EB9D" w14:textId="77777777" w:rsidTr="004C3351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F7CC2C1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3095E59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0194E90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48BCAD53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095225B2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B45D54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60483C94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14:paraId="4E48EB22" w14:textId="77777777" w:rsidR="00267668" w:rsidRDefault="0085388E">
                  <w:r>
                    <w:t>There is a formal risk control plan to minimise employees’ exposure to hazardous manual tasks.</w:t>
                  </w:r>
                </w:p>
              </w:tc>
              <w:tc>
                <w:tcPr>
                  <w:tcW w:w="655" w:type="pct"/>
                </w:tcPr>
                <w:p w14:paraId="5E714A5F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B3F023E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783CDA0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114971B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14:paraId="4DF5C033" w14:textId="77777777" w:rsidR="00267668" w:rsidRDefault="0085388E">
                  <w:r>
                    <w:t>Hazardous manual task risk control measures are implemented according to the hierarchy of control.</w:t>
                  </w:r>
                </w:p>
              </w:tc>
              <w:tc>
                <w:tcPr>
                  <w:tcW w:w="655" w:type="pct"/>
                </w:tcPr>
                <w:p w14:paraId="67DB32C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F36E1D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1AD9A2F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6745401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14:paraId="67C7A53E" w14:textId="77777777" w:rsidR="00267668" w:rsidRDefault="0085388E">
                  <w:r>
                    <w:t>The implemented risk controls address the source (underlying root cause) of the risk identified in the risk assessment process.</w:t>
                  </w:r>
                </w:p>
              </w:tc>
              <w:tc>
                <w:tcPr>
                  <w:tcW w:w="655" w:type="pct"/>
                </w:tcPr>
                <w:p w14:paraId="711B378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C2E277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54F92BC8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C00EA9F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14:paraId="1A359EAB" w14:textId="77777777" w:rsidR="00267668" w:rsidRDefault="0085388E">
                  <w:r>
                    <w:t>Formal justification is available where elimination or design or engineering controls are deemed not to be feasible.</w:t>
                  </w:r>
                </w:p>
              </w:tc>
              <w:tc>
                <w:tcPr>
                  <w:tcW w:w="655" w:type="pct"/>
                </w:tcPr>
                <w:p w14:paraId="1614D5D9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85CA38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67F45F7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6118007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14:paraId="18698DB9" w14:textId="77777777" w:rsidR="00267668" w:rsidRDefault="0085388E">
                  <w:r>
                    <w:t>Employees performing the manual task are consulted in the development and implementation of risk control measures.</w:t>
                  </w:r>
                </w:p>
              </w:tc>
              <w:tc>
                <w:tcPr>
                  <w:tcW w:w="655" w:type="pct"/>
                </w:tcPr>
                <w:p w14:paraId="246EAB6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4B1726B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3BABFF6E" w14:textId="77777777" w:rsidR="00267668" w:rsidRDefault="00267668"/>
        </w:tc>
      </w:tr>
      <w:tr w:rsidR="00EA26DF" w:rsidRPr="00565D8C" w14:paraId="33537213" w14:textId="77777777" w:rsidTr="004C3351">
        <w:trPr>
          <w:trHeight w:val="387"/>
        </w:trPr>
        <w:tc>
          <w:tcPr>
            <w:tcW w:w="5000" w:type="pct"/>
            <w:shd w:val="clear" w:color="auto" w:fill="auto"/>
          </w:tcPr>
          <w:p w14:paraId="63C5B8E7" w14:textId="77777777" w:rsidR="00EA26DF" w:rsidRPr="005A754B" w:rsidRDefault="007F750A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Monitoring and review of implemented control measures</w:t>
            </w:r>
          </w:p>
        </w:tc>
      </w:tr>
      <w:tr w:rsidR="00EA26DF" w:rsidRPr="00565D8C" w14:paraId="55DD2F99" w14:textId="77777777" w:rsidTr="004C3351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0EDEF6C2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234C1BE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39D7D81E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88AD742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170C914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29917B3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1AAD38EF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14:paraId="026DF51B" w14:textId="77777777" w:rsidR="00267668" w:rsidRDefault="0085388E">
                  <w:r>
                    <w:t>There is a formal plan to monitor and review the effectiveness of the implemented risk control measures.</w:t>
                  </w:r>
                </w:p>
              </w:tc>
              <w:tc>
                <w:tcPr>
                  <w:tcW w:w="655" w:type="pct"/>
                </w:tcPr>
                <w:p w14:paraId="4F60BCD6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D394824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38A8414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D3113FF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14:paraId="6ED8F2C1" w14:textId="77777777" w:rsidR="00267668" w:rsidRDefault="0085388E">
                  <w:r>
                    <w:t>Employees performing the task are consulted in the review and monitoring of the implemented control measures.</w:t>
                  </w:r>
                </w:p>
              </w:tc>
              <w:tc>
                <w:tcPr>
                  <w:tcW w:w="655" w:type="pct"/>
                </w:tcPr>
                <w:p w14:paraId="13E5BD2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6F95DEA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0E3139C9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53F9D918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14:paraId="330A41CA" w14:textId="77777777" w:rsidR="00267668" w:rsidRDefault="0085388E">
                  <w:r>
                    <w:t>Action is taken when a risk control measure is ineffective or a new risk arises from the control measure.</w:t>
                  </w:r>
                </w:p>
              </w:tc>
              <w:tc>
                <w:tcPr>
                  <w:tcW w:w="655" w:type="pct"/>
                </w:tcPr>
                <w:p w14:paraId="2B8AB495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33E7593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11827C09" w14:textId="77777777" w:rsidR="00267668" w:rsidRDefault="00267668"/>
        </w:tc>
      </w:tr>
    </w:tbl>
    <w:p w14:paraId="2177E19E" w14:textId="77777777" w:rsidR="0085388E" w:rsidRDefault="0085388E">
      <w:r>
        <w:rPr>
          <w:b/>
          <w:bCs w:val="0"/>
          <w:caps/>
        </w:rPr>
        <w:br w:type="page"/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459"/>
      </w:tblGrid>
      <w:tr w:rsidR="00EA26DF" w:rsidRPr="00565D8C" w14:paraId="062C7D2E" w14:textId="77777777" w:rsidTr="004C3351">
        <w:trPr>
          <w:trHeight w:val="387"/>
        </w:trPr>
        <w:tc>
          <w:tcPr>
            <w:tcW w:w="5000" w:type="pct"/>
            <w:shd w:val="clear" w:color="auto" w:fill="auto"/>
          </w:tcPr>
          <w:p w14:paraId="0F17267F" w14:textId="77777777" w:rsidR="00EA26DF" w:rsidRPr="005A754B" w:rsidRDefault="007F750A" w:rsidP="004C3351">
            <w:pPr>
              <w:pStyle w:val="Heading1"/>
            </w:pPr>
            <w:r>
              <w:lastRenderedPageBreak/>
              <w:t>5</w:t>
            </w:r>
            <w:r w:rsidR="00EA26DF">
              <w:tab/>
            </w:r>
            <w:r>
              <w:t>Training</w:t>
            </w:r>
          </w:p>
        </w:tc>
      </w:tr>
      <w:tr w:rsidR="00EA26DF" w:rsidRPr="00565D8C" w14:paraId="7C83FF7D" w14:textId="77777777" w:rsidTr="004C3351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2B53AEC6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73CAF32C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4BDFD84B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65799215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03E60B7F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7B83B92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464BF24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14:paraId="6805A06B" w14:textId="77777777" w:rsidR="00267668" w:rsidRDefault="0085388E">
                  <w:r>
                    <w:t>Employees have received training in the identification of hazardous manual tasks and in the management of the risk arising from those tasks commensurate with their role and responsibilities.</w:t>
                  </w:r>
                </w:p>
              </w:tc>
              <w:tc>
                <w:tcPr>
                  <w:tcW w:w="655" w:type="pct"/>
                </w:tcPr>
                <w:p w14:paraId="3AE808A1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729FE792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5F13D76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0762392D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14:paraId="5E383582" w14:textId="77777777" w:rsidR="00267668" w:rsidRDefault="0085388E">
                  <w:r>
                    <w:t>Employees have received task-specific training before performing manual tasks.</w:t>
                  </w:r>
                </w:p>
              </w:tc>
              <w:tc>
                <w:tcPr>
                  <w:tcW w:w="655" w:type="pct"/>
                </w:tcPr>
                <w:p w14:paraId="2D69A4FA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48EAE21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46E477B3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42CFCA48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14:paraId="38901415" w14:textId="77777777" w:rsidR="00267668" w:rsidRDefault="0085388E">
                  <w:r>
                    <w:t>Competency based assessment is undertaken.</w:t>
                  </w:r>
                </w:p>
              </w:tc>
              <w:tc>
                <w:tcPr>
                  <w:tcW w:w="655" w:type="pct"/>
                </w:tcPr>
                <w:p w14:paraId="0A5F4100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034D488A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5D0F641" w14:textId="77777777" w:rsidR="00267668" w:rsidRDefault="00267668"/>
        </w:tc>
      </w:tr>
      <w:tr w:rsidR="00EA26DF" w:rsidRPr="00565D8C" w14:paraId="240E564E" w14:textId="77777777" w:rsidTr="004C3351">
        <w:trPr>
          <w:trHeight w:val="387"/>
        </w:trPr>
        <w:tc>
          <w:tcPr>
            <w:tcW w:w="5000" w:type="pct"/>
            <w:shd w:val="clear" w:color="auto" w:fill="auto"/>
          </w:tcPr>
          <w:p w14:paraId="6EED637B" w14:textId="77777777" w:rsidR="00EA26DF" w:rsidRPr="005A754B" w:rsidRDefault="007F750A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Design of workplaces and design and purchasing of plant and equipment</w:t>
            </w:r>
          </w:p>
        </w:tc>
      </w:tr>
      <w:tr w:rsidR="00EA26DF" w:rsidRPr="00565D8C" w14:paraId="062C334E" w14:textId="77777777" w:rsidTr="004C3351">
        <w:trPr>
          <w:trHeight w:val="586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291"/>
              <w:gridCol w:w="4384"/>
              <w:gridCol w:w="1863"/>
              <w:gridCol w:w="6685"/>
            </w:tblGrid>
            <w:tr w:rsidR="00EA26DF" w:rsidRPr="00565D8C" w14:paraId="685776FC" w14:textId="77777777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14:paraId="5511A21C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14:paraId="2084F9B8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14:paraId="286CD0C0" w14:textId="77777777"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14:paraId="71912579" w14:textId="77777777"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14:paraId="425AB44A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7E7C8E44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14:paraId="0B6AB60D" w14:textId="77777777" w:rsidR="00267668" w:rsidRDefault="0085388E">
                  <w:r>
                    <w:t>Design and planning activities include hazard and risk analysis procedures to identify where potentially hazardous manual tasks can be designed out.</w:t>
                  </w:r>
                </w:p>
              </w:tc>
              <w:tc>
                <w:tcPr>
                  <w:tcW w:w="655" w:type="pct"/>
                </w:tcPr>
                <w:p w14:paraId="17D6C134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4BEAF60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1F26FDAB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2CC3607D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14:paraId="5E595A93" w14:textId="77777777" w:rsidR="00267668" w:rsidRDefault="0085388E">
                  <w:r>
                    <w:t>Ergonomic considerations have been incorporated into relevant equipment* and plant** purchases.</w:t>
                  </w:r>
                  <w:r>
                    <w:br/>
                    <w:t>* Equipment includes items such as hand tools, and workplace furniture such as chairs and workstations.</w:t>
                  </w:r>
                  <w:r>
                    <w:br/>
                    <w:t>** Plant includes mobile and fixed plant.</w:t>
                  </w:r>
                </w:p>
              </w:tc>
              <w:tc>
                <w:tcPr>
                  <w:tcW w:w="655" w:type="pct"/>
                </w:tcPr>
                <w:p w14:paraId="24F497F7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56769B0C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614BF1A5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5DE4896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14:paraId="2B937690" w14:textId="77777777" w:rsidR="00267668" w:rsidRDefault="0085388E">
                  <w:r>
                    <w:t>Design, planning and purchasing activities take into consideration any reports of equipment and plant issues that have resulted in injury (musculoskeletal disorders).</w:t>
                  </w:r>
                </w:p>
              </w:tc>
              <w:tc>
                <w:tcPr>
                  <w:tcW w:w="655" w:type="pct"/>
                </w:tcPr>
                <w:p w14:paraId="53384482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30A91308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14:paraId="774F8F72" w14:textId="77777777" w:rsidTr="007F750A">
              <w:trPr>
                <w:trHeight w:val="488"/>
              </w:trPr>
              <w:tc>
                <w:tcPr>
                  <w:tcW w:w="1312" w:type="dxa"/>
                </w:tcPr>
                <w:p w14:paraId="39823BAE" w14:textId="77777777" w:rsidR="00267668" w:rsidRDefault="0085388E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14:paraId="54385BE6" w14:textId="77777777" w:rsidR="00267668" w:rsidRDefault="0085388E">
                  <w:r>
                    <w:t>Employees who perform manual tasks in a workplace or use or operate equipment or plant are consulted in the planning, design and purchasing processes.</w:t>
                  </w:r>
                </w:p>
              </w:tc>
              <w:tc>
                <w:tcPr>
                  <w:tcW w:w="655" w:type="pct"/>
                </w:tcPr>
                <w:p w14:paraId="112A70A8" w14:textId="77777777"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14:paraId="2430984D" w14:textId="77777777"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14:paraId="423F0193" w14:textId="77777777" w:rsidR="00267668" w:rsidRDefault="00267668"/>
        </w:tc>
      </w:tr>
    </w:tbl>
    <w:p w14:paraId="68B8F513" w14:textId="77777777" w:rsidR="00254A65" w:rsidRDefault="00254A65"/>
    <w:sectPr w:rsidR="00254A65" w:rsidSect="00DE27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CBB8" w14:textId="77777777" w:rsidR="00F10215" w:rsidRDefault="00F10215">
      <w:r>
        <w:separator/>
      </w:r>
    </w:p>
  </w:endnote>
  <w:endnote w:type="continuationSeparator" w:id="0">
    <w:p w14:paraId="2C7CEB8A" w14:textId="77777777" w:rsidR="00F10215" w:rsidRDefault="00F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6C6C" w14:textId="77777777" w:rsidR="00E16084" w:rsidRDefault="00E16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6BBD" w14:textId="77777777" w:rsidR="00D34D5F" w:rsidRPr="006746A8" w:rsidRDefault="007F750A" w:rsidP="006746A8">
    <w:pPr>
      <w:pStyle w:val="Footer"/>
      <w:tabs>
        <w:tab w:val="right" w:pos="14459"/>
      </w:tabs>
    </w:pPr>
    <w:r>
      <w:t>Manual tasks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85388E">
      <w:rPr>
        <w:noProof/>
      </w:rPr>
      <w:t>3</w:t>
    </w:r>
    <w:r w:rsidR="00B64808" w:rsidRPr="006746A8">
      <w:fldChar w:fldCharType="end"/>
    </w:r>
    <w:r w:rsidR="00B64808" w:rsidRPr="006746A8">
      <w:t xml:space="preserve"> of </w:t>
    </w:r>
    <w:fldSimple w:instr=" NUMPAGES  \* Arabic  \* MERGEFORMAT ">
      <w:r w:rsidR="0085388E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304A" w14:textId="77777777" w:rsidR="00E16084" w:rsidRDefault="00E1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2535" w14:textId="77777777" w:rsidR="00F10215" w:rsidRDefault="00F10215">
      <w:r>
        <w:separator/>
      </w:r>
    </w:p>
  </w:footnote>
  <w:footnote w:type="continuationSeparator" w:id="0">
    <w:p w14:paraId="53D8F410" w14:textId="77777777" w:rsidR="00F10215" w:rsidRDefault="00F1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ABFD" w14:textId="77777777" w:rsidR="00E16084" w:rsidRDefault="00E16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4D07" w14:textId="77777777"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CE0FC3">
      <w:rPr>
        <w:sz w:val="16"/>
        <w:szCs w:val="16"/>
      </w:rPr>
      <w:t xml:space="preserve">Department of </w:t>
    </w:r>
    <w:r>
      <w:rPr>
        <w:sz w:val="16"/>
        <w:szCs w:val="16"/>
      </w:rPr>
      <w:t>Mines and Petroleum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E0FC3">
      <w:rPr>
        <w:sz w:val="16"/>
        <w:szCs w:val="16"/>
      </w:rPr>
      <w:t>Resources Safety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43A0" w14:textId="77777777" w:rsidR="00E16084" w:rsidRDefault="00E1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41736">
    <w:abstractNumId w:val="21"/>
  </w:num>
  <w:num w:numId="2" w16cid:durableId="807549197">
    <w:abstractNumId w:val="27"/>
  </w:num>
  <w:num w:numId="3" w16cid:durableId="382483261">
    <w:abstractNumId w:val="23"/>
  </w:num>
  <w:num w:numId="4" w16cid:durableId="1923221911">
    <w:abstractNumId w:val="10"/>
  </w:num>
  <w:num w:numId="5" w16cid:durableId="1609585363">
    <w:abstractNumId w:val="20"/>
  </w:num>
  <w:num w:numId="6" w16cid:durableId="1174034334">
    <w:abstractNumId w:val="14"/>
  </w:num>
  <w:num w:numId="7" w16cid:durableId="1113211150">
    <w:abstractNumId w:val="18"/>
  </w:num>
  <w:num w:numId="8" w16cid:durableId="2052411787">
    <w:abstractNumId w:val="28"/>
  </w:num>
  <w:num w:numId="9" w16cid:durableId="797456914">
    <w:abstractNumId w:val="22"/>
  </w:num>
  <w:num w:numId="10" w16cid:durableId="1362633788">
    <w:abstractNumId w:val="24"/>
  </w:num>
  <w:num w:numId="11" w16cid:durableId="1758400753">
    <w:abstractNumId w:val="29"/>
  </w:num>
  <w:num w:numId="12" w16cid:durableId="1745638578">
    <w:abstractNumId w:val="16"/>
  </w:num>
  <w:num w:numId="13" w16cid:durableId="597450488">
    <w:abstractNumId w:val="9"/>
  </w:num>
  <w:num w:numId="14" w16cid:durableId="970473574">
    <w:abstractNumId w:val="7"/>
  </w:num>
  <w:num w:numId="15" w16cid:durableId="839389123">
    <w:abstractNumId w:val="6"/>
  </w:num>
  <w:num w:numId="16" w16cid:durableId="409893578">
    <w:abstractNumId w:val="5"/>
  </w:num>
  <w:num w:numId="17" w16cid:durableId="1735083110">
    <w:abstractNumId w:val="4"/>
  </w:num>
  <w:num w:numId="18" w16cid:durableId="672876615">
    <w:abstractNumId w:val="8"/>
  </w:num>
  <w:num w:numId="19" w16cid:durableId="1238904882">
    <w:abstractNumId w:val="3"/>
  </w:num>
  <w:num w:numId="20" w16cid:durableId="1249462010">
    <w:abstractNumId w:val="2"/>
  </w:num>
  <w:num w:numId="21" w16cid:durableId="474760218">
    <w:abstractNumId w:val="1"/>
  </w:num>
  <w:num w:numId="22" w16cid:durableId="873881420">
    <w:abstractNumId w:val="0"/>
  </w:num>
  <w:num w:numId="23" w16cid:durableId="1447194754">
    <w:abstractNumId w:val="13"/>
  </w:num>
  <w:num w:numId="24" w16cid:durableId="246696947">
    <w:abstractNumId w:val="26"/>
  </w:num>
  <w:num w:numId="25" w16cid:durableId="1737624940">
    <w:abstractNumId w:val="17"/>
  </w:num>
  <w:num w:numId="26" w16cid:durableId="414323413">
    <w:abstractNumId w:val="19"/>
  </w:num>
  <w:num w:numId="27" w16cid:durableId="1494032271">
    <w:abstractNumId w:val="12"/>
  </w:num>
  <w:num w:numId="28" w16cid:durableId="1744178549">
    <w:abstractNumId w:val="25"/>
  </w:num>
  <w:num w:numId="29" w16cid:durableId="1614050786">
    <w:abstractNumId w:val="11"/>
  </w:num>
  <w:num w:numId="30" w16cid:durableId="55591039">
    <w:abstractNumId w:val="30"/>
  </w:num>
  <w:num w:numId="31" w16cid:durableId="6114032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0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4CC3"/>
    <w:rsid w:val="00215686"/>
    <w:rsid w:val="00216D1B"/>
    <w:rsid w:val="00220B89"/>
    <w:rsid w:val="00223DEB"/>
    <w:rsid w:val="0022496C"/>
    <w:rsid w:val="00230367"/>
    <w:rsid w:val="00245C92"/>
    <w:rsid w:val="0025049A"/>
    <w:rsid w:val="00254A65"/>
    <w:rsid w:val="0025684B"/>
    <w:rsid w:val="00265E85"/>
    <w:rsid w:val="0026663B"/>
    <w:rsid w:val="00267668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27EF0"/>
    <w:rsid w:val="005412A7"/>
    <w:rsid w:val="00543B7A"/>
    <w:rsid w:val="00551BD6"/>
    <w:rsid w:val="005547D3"/>
    <w:rsid w:val="00571662"/>
    <w:rsid w:val="00592785"/>
    <w:rsid w:val="005A47D3"/>
    <w:rsid w:val="005A4FF1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388E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85480"/>
    <w:rsid w:val="00985805"/>
    <w:rsid w:val="009B2D5C"/>
    <w:rsid w:val="009C0AD1"/>
    <w:rsid w:val="009C2516"/>
    <w:rsid w:val="009D016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2C6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3A9C"/>
    <w:rsid w:val="00B449D8"/>
    <w:rsid w:val="00B46AA7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DB67F87"/>
  <w15:docId w15:val="{A174D8A8-F4BF-4952-B69A-4BBE6F16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5" ma:contentTypeDescription="Create a new document." ma:contentTypeScope="" ma:versionID="d9cc573b7dddb4c57c8e6ecd3177ea26">
  <xsd:schema xmlns:xsd="http://www.w3.org/2001/XMLSchema" xmlns:xs="http://www.w3.org/2001/XMLSchema" xmlns:p="http://schemas.microsoft.com/office/2006/metadata/properties" xmlns:ns2="e7c7f6fc-0c1f-4db4-bdfb-1d5a5c7fbe5d" xmlns:ns3="http://schemas.microsoft.com/sharepoint/v3/fields" targetNamespace="http://schemas.microsoft.com/office/2006/metadata/properties" ma:root="true" ma:fieldsID="e5e205fa148a66c7a58897447b961c07" ns2:_="" ns3:_=""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9F06-C2C0-43C1-A4CA-15F6C80F3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office/infopath/2007/PartnerControls"/>
    <ds:schemaRef ds:uri="e7c7f6fc-0c1f-4db4-bdfb-1d5a5c7fbe5d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19C6D1C-D033-4CE5-84D7-5769E808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- Audit - Template - GENERIC AUDIT TEMPLATE</vt:lpstr>
    </vt:vector>
  </TitlesOfParts>
  <Company>DoCEP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2025-02-21T01:52:00Z</dcterms:created>
  <dcterms:modified xsi:type="dcterms:W3CDTF">2025-02-21T01:52:00Z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