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C2" w:rsidRDefault="00B32775" w:rsidP="003C7FC2">
      <w:pPr>
        <w:pStyle w:val="Heading1"/>
        <w:tabs>
          <w:tab w:val="right" w:pos="14459"/>
        </w:tabs>
      </w:pPr>
      <w:bookmarkStart w:id="0" w:name="_GoBack"/>
      <w:bookmarkEnd w:id="0"/>
      <w:r>
        <w:t>Quarry systems audit</w:t>
      </w:r>
      <w:r w:rsidR="003C7FC2">
        <w:tab/>
      </w:r>
      <w:r w:rsidR="003C7FC2">
        <w:rPr>
          <w:caps w:val="0"/>
        </w:rPr>
        <w:t>Site</w:t>
      </w:r>
      <w:r w:rsidR="003C7FC2">
        <w:t xml:space="preserve">: </w:t>
      </w:r>
      <w:r w:rsidR="003417E4">
        <w:t>_</w:t>
      </w:r>
      <w:r w:rsidR="003C7FC2">
        <w:t>__</w:t>
      </w:r>
      <w:r w:rsidR="003417E4">
        <w:t>_</w:t>
      </w:r>
      <w:r w:rsidR="00631338">
        <w:t>___</w:t>
      </w:r>
      <w:r w:rsidR="003C7FC2">
        <w:t>_______________</w:t>
      </w:r>
      <w:r w:rsidR="00631338">
        <w:t>______</w:t>
      </w:r>
      <w:r w:rsidR="003C7FC2">
        <w:t>____</w:t>
      </w:r>
      <w:r w:rsidR="00401BFC">
        <w:t>_</w:t>
      </w:r>
    </w:p>
    <w:p w:rsidR="00603803" w:rsidRDefault="003417E4" w:rsidP="003C7FC2">
      <w:pPr>
        <w:pStyle w:val="Heading1"/>
        <w:tabs>
          <w:tab w:val="right" w:pos="14459"/>
        </w:tabs>
        <w:jc w:val="right"/>
      </w:pPr>
      <w:r>
        <w:rPr>
          <w:caps w:val="0"/>
        </w:rPr>
        <w:t>Date</w:t>
      </w:r>
      <w:r w:rsidR="00631338">
        <w:rPr>
          <w:caps w:val="0"/>
        </w:rPr>
        <w:t xml:space="preserve"> conducted</w:t>
      </w:r>
      <w:r w:rsidR="003C7FC2">
        <w:t>:</w:t>
      </w:r>
      <w:r w:rsidR="00631338">
        <w:t>___</w:t>
      </w:r>
      <w:r>
        <w:t>__</w:t>
      </w:r>
      <w:r w:rsidR="003C7FC2">
        <w:t>____</w:t>
      </w:r>
      <w:r>
        <w:t>_</w:t>
      </w:r>
      <w:r w:rsidR="003C7FC2">
        <w:t>__</w:t>
      </w:r>
      <w:r w:rsidR="00631338">
        <w:t>______</w:t>
      </w:r>
      <w:r w:rsidR="003C7FC2">
        <w:t>_____</w:t>
      </w:r>
    </w:p>
    <w:tbl>
      <w:tblPr>
        <w:tblW w:w="5000" w:type="pct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685"/>
      </w:tblGrid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1</w:t>
            </w:r>
            <w:r w:rsidR="00EA26DF">
              <w:tab/>
            </w:r>
            <w:r>
              <w:t>Management Systems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 xml:space="preserve">There is a written </w:t>
                  </w:r>
                  <w:r>
                    <w:t>policy statement which sets out the Safety and Health Policy of the organisation.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1.2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An up to date organisation chart is available.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1.3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Senior managers accept their responsibilities, with regard to Safety and Health.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1.4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 xml:space="preserve">Site management staff </w:t>
                  </w:r>
                  <w:r>
                    <w:t>encourage employees to systematically improve work processes to enhance Safety and Health.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1.5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Employees exhibit an understanding of the organisation’s Safety and Health objectives.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1.6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There is a formal program to monitor occupational health hazards</w:t>
                  </w:r>
                  <w:r>
                    <w:t xml:space="preserve"> that have been identified.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1.7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Contractors employed in the enterprise are required to comply with the principal employer's Safety and Health Policy.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1.8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Personal protective equipment is available to all employees at no cost.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1.9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There is a system</w:t>
                  </w:r>
                  <w:r>
                    <w:t xml:space="preserve"> for the repair of reported equipment and plant faults.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1.10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Formal procedures are in place to investigate accidents, occurrences and property damage.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1.11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There is an induction and training process at the enterprise.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1.12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 xml:space="preserve">Safety and Health </w:t>
                  </w:r>
                  <w:r>
                    <w:t>meetings are held.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1.13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Communications are available between the mine and outside emergency services.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1.14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 xml:space="preserve">Management carries out its statutory responsibilities in respect of the recording and reporting of occurrences and potentially serious </w:t>
                  </w:r>
                  <w:r>
                    <w:t>occurrences.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1.15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Management carried out its statutory responsibilities in respect of the registration, inspection and maintenance of Classified Plant.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1.16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Management carried out its statutory responsibilities in respect of the licensing of its elec</w:t>
                  </w:r>
                  <w:r>
                    <w:t>trical installation.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1.17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Management carries out its statutory responsibilities in respect of the recording of lost time injuries to workers.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1.18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Management has caused a noise report to be compiled.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1.19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 xml:space="preserve">Management maintains a database recording </w:t>
                  </w:r>
                  <w:r>
                    <w:t>each employee's training history.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F57E4E" w:rsidRDefault="00F57E4E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2</w:t>
            </w:r>
            <w:r w:rsidR="00EA26DF">
              <w:tab/>
            </w:r>
            <w:r>
              <w:t>Explosives Storage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2.1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Magazine of greater than 250kg capacity is licensed by Chief Inspector of Explosives.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2.2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 xml:space="preserve">The magazine is located at least 50 metres away from any </w:t>
                  </w:r>
                  <w:r>
                    <w:t>entrance to any underground mine.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2.3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Explosives magazine is in excess of 10 m from any detonator magazine.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2.4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Magazine is kept locked except when stock movement is occurring.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2.5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Incompatible explosive products are not stored together.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2.6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Incompatible explosive products are not stored together. No additional unauthorised materials are stored in the magazine.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2.7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No explosives are stored loose in the magazine.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2.8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A responsible person has been appointed to control the magazine.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2.9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Prominent “EXPLOSIVES” sign displayed on magazine.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F57E4E" w:rsidRDefault="00F57E4E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3</w:t>
            </w:r>
            <w:r w:rsidR="00EA26DF">
              <w:tab/>
            </w:r>
            <w:r>
              <w:t>Blasting Practices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3.1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Blasts are planned and designed to ensure good blast results ie good fragmentation, displacement of muck pile and looseness.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3.2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Drilling patterns are laid out accurately.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3.3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Occurrences such as any accident or damage to property by fly rock (or close call) are recorded.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3.4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Where noise, airblast and/or ground vibration are a problem, complaints are recorded.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3.5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 xml:space="preserve">Drilling </w:t>
                  </w:r>
                  <w:r>
                    <w:t>is not carried out on a bench face until it has been checked for misfires.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3.6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All means of entry to the place of blasting are securely guarded against entry by persons, or warning notices are erected to prevent entry.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3.7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 xml:space="preserve">Any charge in a designated </w:t>
                  </w:r>
                  <w:r>
                    <w:t>blast which has not been fired or has not exploded is treated as misfire.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3.8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A sufficient depth of each blasthole is left uncharged to permit adequate stemming.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3.9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The depth and condition of blastholes are checked prior to charging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F57E4E" w:rsidRDefault="00F57E4E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4</w:t>
            </w:r>
            <w:r w:rsidR="00EA26DF">
              <w:tab/>
            </w:r>
            <w:r>
              <w:t>Isolation &amp; Tagging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4.1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OUT OF SERVICE tags are used to warn against the use of plant which is unsafe to be used or which may be damaged if it is used.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4.2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 xml:space="preserve">DANGER tags are used to prohibit the use of plant on </w:t>
                  </w:r>
                  <w:r>
                    <w:t>which an employee is undertaking work.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4.3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Each employee removes his own DANGER tag after completing the work and prior to leaving the worksite at the end of the shift.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4.4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 xml:space="preserve">OUT OF SERVICE tags are attached prior to removing DANGER tags when work on </w:t>
                  </w:r>
                  <w:r>
                    <w:t>plant is not completed.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4.5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The effectiveness of devices used to isolate plant is proved prior to attaching DANGER or OUT OF SERVICE tags.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F57E4E" w:rsidRDefault="00F57E4E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5</w:t>
            </w:r>
            <w:r w:rsidR="00EA26DF">
              <w:tab/>
            </w:r>
            <w:r>
              <w:t>Tipping On Stockpiles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5.1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 xml:space="preserve">The design is such that potential </w:t>
                  </w:r>
                  <w:r>
                    <w:t>instability of the dump is minimised.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5.2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Day and night where applicable effective route marking is provided for approach to tipping areas.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5.3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There is a rising, or at least flat, grade towards the dump edge.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5.4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 xml:space="preserve">There is control of dust </w:t>
                  </w:r>
                  <w:r>
                    <w:t>generation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F57E4E" w:rsidRDefault="00F57E4E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6</w:t>
            </w:r>
            <w:r w:rsidR="00EA26DF">
              <w:tab/>
            </w:r>
            <w:r>
              <w:t>Emergency Plan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6.1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The operation has prepared an emergency plan.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6.2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The emergency plan is known by the quarry personnel.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6.3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 xml:space="preserve">The emergency plan identifies the types of incidents which may </w:t>
                  </w:r>
                  <w:r>
                    <w:t>affect the enterprise.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6.4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On-site first aid services and facilities are available at the enterprise.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6.5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On-site fire fighting resources, include trained personnel.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6.6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The emergency plan includes a means of visitor control.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F57E4E" w:rsidRDefault="00F57E4E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7</w:t>
            </w:r>
            <w:r w:rsidR="00EA26DF">
              <w:tab/>
            </w:r>
            <w:r>
              <w:t>Occupational Health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7.1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Occupational health hazards have been identified.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7.2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Control measures are in place to reduce occupational health hazards identified.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7.3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 xml:space="preserve">Control measures in place to reduce the occupational health </w:t>
                  </w:r>
                  <w:r>
                    <w:t>hazards are effective.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7.4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Employees have been educated in the occupational health hazards identified.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7.5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The exposure of employees to the occupational health hazards identified has been evaluated.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7.6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 xml:space="preserve">Where necessary employees wear appropriate </w:t>
                  </w:r>
                  <w:r>
                    <w:t>personal protective equipment to reduce exposure to occupational health hazards identified.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F57E4E" w:rsidRDefault="00F57E4E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8</w:t>
            </w:r>
            <w:r w:rsidR="00EA26DF">
              <w:tab/>
            </w:r>
            <w:r>
              <w:t>Mobile Plant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8.1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There is a system of maintenance for mobile plant.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8.2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 xml:space="preserve">A competent person is appointed to </w:t>
                  </w:r>
                  <w:r>
                    <w:t>supervise maintenance.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8.3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Records are kept for maintenance of mobile plant.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8.4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Records are kept for maintenance of mobile plant.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8.5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The faults are rectified in an acceptable time frame.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8.6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 xml:space="preserve">There is a document to show that pre-start checks </w:t>
                  </w:r>
                  <w:r>
                    <w:t>are carried out for mobile plant.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8.7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Mobile plant operators are trained and assessed for competency.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8.8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ROPS, where necessary, is provided.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8.9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Mobile plant inspected in operation, appeared to be in satisfactory condition.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8.10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 xml:space="preserve">Radio </w:t>
                  </w:r>
                  <w:r>
                    <w:t>communication from mobile plant is provided.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8.11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There is a system to make checks and approve short term contractor’s mobile plant.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8.12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The haul roads are maintained in satisfactory condition.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F57E4E" w:rsidRDefault="00F57E4E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9</w:t>
            </w:r>
            <w:r w:rsidR="00EA26DF">
              <w:tab/>
            </w:r>
            <w:r>
              <w:t>Workshop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9.1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A workshop facility is provided for the maintenance of fixed and mobile plant.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9.2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The facility is appropriate for the types of tasks undertaken.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9.3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The workshop facility is maintained in a tidy condition.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9.4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 xml:space="preserve">Signs are provided to warn of </w:t>
                  </w:r>
                  <w:r>
                    <w:t>possible eye, hearing and other hazards.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9.5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Fire control equipment is available at the workshop.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9.6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Machinery is maintained on a regular basis.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9.7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Electrical tools and equipment at the workshop is periodically checked and tagged.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9.8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Electrical welding machines are maintained in safe condition.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9.9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High pressure gas cylinders are restrained.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9.10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High pressure gas hoses and gauges are free from damage.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9.11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 xml:space="preserve">Proper material handling equipment is provided for the tasks </w:t>
                  </w:r>
                  <w:r>
                    <w:t>undertaken.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9.12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Adequate lighting is available for work to be carried out at the workshop.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F57E4E" w:rsidRDefault="00F57E4E"/>
        </w:tc>
      </w:tr>
      <w:tr w:rsidR="00EA26DF" w:rsidRPr="00565D8C" w:rsidTr="005A5422">
        <w:trPr>
          <w:trHeight w:val="387"/>
        </w:trPr>
        <w:tc>
          <w:tcPr>
            <w:tcW w:w="5000" w:type="pct"/>
            <w:shd w:val="clear" w:color="auto" w:fill="auto"/>
          </w:tcPr>
          <w:p w:rsidR="0096683C" w:rsidRDefault="0096683C" w:rsidP="00FA6D72"/>
          <w:p w:rsidR="00EA26DF" w:rsidRPr="005A754B" w:rsidRDefault="00B32775" w:rsidP="004C3351">
            <w:pPr>
              <w:pStyle w:val="Heading1"/>
            </w:pPr>
            <w:r>
              <w:t>10</w:t>
            </w:r>
            <w:r w:rsidR="00EA26DF">
              <w:tab/>
            </w:r>
            <w:r>
              <w:t>Fixed Plant</w:t>
            </w:r>
          </w:p>
        </w:tc>
      </w:tr>
      <w:tr w:rsidR="00EA26DF" w:rsidRPr="00565D8C" w:rsidTr="005A5422">
        <w:trPr>
          <w:trHeight w:val="586"/>
        </w:trPr>
        <w:tc>
          <w:tcPr>
            <w:tcW w:w="5000" w:type="pct"/>
            <w:shd w:val="clear" w:color="auto" w:fill="auto"/>
          </w:tcPr>
          <w:p w:rsidR="00001177" w:rsidRDefault="00001177" w:rsidP="004C3351"/>
          <w:tbl>
            <w:tblPr>
              <w:tblStyle w:val="TableGrid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1312"/>
              <w:gridCol w:w="4453"/>
              <w:gridCol w:w="1893"/>
              <w:gridCol w:w="6791"/>
            </w:tblGrid>
            <w:tr w:rsidR="00EA26DF" w:rsidRPr="00565D8C" w:rsidTr="007F750A">
              <w:trPr>
                <w:trHeight w:val="322"/>
              </w:trPr>
              <w:tc>
                <w:tcPr>
                  <w:tcW w:w="454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Point</w:t>
                  </w:r>
                </w:p>
              </w:tc>
              <w:tc>
                <w:tcPr>
                  <w:tcW w:w="1541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Standard</w:t>
                  </w:r>
                </w:p>
              </w:tc>
              <w:tc>
                <w:tcPr>
                  <w:tcW w:w="655" w:type="pct"/>
                  <w:shd w:val="clear" w:color="auto" w:fill="F2F2F2" w:themeFill="background1" w:themeFillShade="F2"/>
                </w:tcPr>
                <w:p w:rsidR="00EA26DF" w:rsidRPr="00565D8C" w:rsidRDefault="008528E4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>
                    <w:rPr>
                      <w:b/>
                      <w:color w:val="000080"/>
                    </w:rPr>
                    <w:t>Standard m</w:t>
                  </w:r>
                  <w:r w:rsidR="00EA26DF" w:rsidRPr="00565D8C">
                    <w:rPr>
                      <w:b/>
                      <w:color w:val="000080"/>
                    </w:rPr>
                    <w:t>et</w:t>
                  </w:r>
                </w:p>
              </w:tc>
              <w:tc>
                <w:tcPr>
                  <w:tcW w:w="2350" w:type="pct"/>
                  <w:shd w:val="clear" w:color="auto" w:fill="F2F2F2" w:themeFill="background1" w:themeFillShade="F2"/>
                </w:tcPr>
                <w:p w:rsidR="00EA26DF" w:rsidRPr="00565D8C" w:rsidRDefault="00EA26DF" w:rsidP="004C3351">
                  <w:pPr>
                    <w:pStyle w:val="Tablenormal0"/>
                    <w:rPr>
                      <w:b/>
                      <w:color w:val="000080"/>
                    </w:rPr>
                  </w:pPr>
                  <w:r w:rsidRPr="00565D8C">
                    <w:rPr>
                      <w:b/>
                      <w:color w:val="000080"/>
                    </w:rPr>
                    <w:t>Comments</w:t>
                  </w: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10.1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Fixed plant drives and moving parts are suitably guarded.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10.2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 xml:space="preserve">Fixed plant has walkways and </w:t>
                  </w:r>
                  <w:r>
                    <w:t>platforms.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10.3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The walkways and platforms provide access to major items for both operation and maintenance.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10.4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Guard railing is provided for walkways and platforms.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10.5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Items of fixed plant have a primary isolator.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10.6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 xml:space="preserve">The items of fixed </w:t>
                  </w:r>
                  <w:r>
                    <w:t>plant have a local isolator.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10.7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The isolation switches are labelled.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10.8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 xml:space="preserve">The isolation switches have provision for </w:t>
                  </w:r>
                  <w:r>
                    <w:lastRenderedPageBreak/>
                    <w:t>securing isolation tags.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lastRenderedPageBreak/>
                    <w:t>10.9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The hazards associated with the manual cleaning of fixed plant have been identified.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  <w:tr w:rsidR="00EA26DF" w:rsidRPr="00565D8C" w:rsidTr="007F750A">
              <w:trPr>
                <w:trHeight w:val="488"/>
              </w:trPr>
              <w:tc>
                <w:tcPr>
                  <w:tcW w:w="1312" w:type="dxa"/>
                </w:tcPr>
                <w:p w:rsidR="00F57E4E" w:rsidRDefault="00F97F6F">
                  <w:pPr>
                    <w:pStyle w:val="Tablenormal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10.10</w:t>
                  </w:r>
                </w:p>
              </w:tc>
              <w:tc>
                <w:tcPr>
                  <w:tcW w:w="4453" w:type="dxa"/>
                </w:tcPr>
                <w:p w:rsidR="00F57E4E" w:rsidRDefault="00F97F6F">
                  <w:r>
                    <w:t>Procedures for the manual cleaning of fixed plant ensure that where a hazard exists the plant directly involved is stopped.</w:t>
                  </w:r>
                </w:p>
              </w:tc>
              <w:tc>
                <w:tcPr>
                  <w:tcW w:w="655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  <w:tc>
                <w:tcPr>
                  <w:tcW w:w="2350" w:type="pct"/>
                </w:tcPr>
                <w:p w:rsidR="00EA26DF" w:rsidRPr="00565D8C" w:rsidRDefault="00EA26DF" w:rsidP="004C3351">
                  <w:pPr>
                    <w:pStyle w:val="Tablenormal0"/>
                  </w:pPr>
                </w:p>
              </w:tc>
            </w:tr>
          </w:tbl>
          <w:p w:rsidR="00F57E4E" w:rsidRDefault="00F57E4E"/>
        </w:tc>
      </w:tr>
    </w:tbl>
    <w:p w:rsidR="00000000" w:rsidRDefault="00F97F6F"/>
    <w:sectPr w:rsidR="00000000" w:rsidSect="00DE27A5">
      <w:headerReference w:type="default" r:id="rId12"/>
      <w:footerReference w:type="default" r:id="rId13"/>
      <w:pgSz w:w="16838" w:h="11899" w:orient="landscape" w:code="9"/>
      <w:pgMar w:top="1134" w:right="1245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10" w:rsidRDefault="00966210">
      <w:r>
        <w:separator/>
      </w:r>
    </w:p>
  </w:endnote>
  <w:endnote w:type="continuationSeparator" w:id="0">
    <w:p w:rsidR="00966210" w:rsidRDefault="0096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5F" w:rsidRPr="006746A8" w:rsidRDefault="00B32775" w:rsidP="006746A8">
    <w:pPr>
      <w:pStyle w:val="Footer"/>
      <w:tabs>
        <w:tab w:val="right" w:pos="14459"/>
      </w:tabs>
    </w:pPr>
    <w:r>
      <w:t>Quarry systems audit</w:t>
    </w:r>
    <w:r w:rsidR="00A00266" w:rsidRPr="006746A8">
      <w:tab/>
    </w:r>
    <w:r w:rsidR="006746A8">
      <w:tab/>
    </w:r>
    <w:r w:rsidR="00E16084">
      <w:ptab w:relativeTo="margin" w:alignment="right" w:leader="none"/>
    </w:r>
    <w:r w:rsidR="00B64808" w:rsidRPr="006746A8">
      <w:t xml:space="preserve">Page </w:t>
    </w:r>
    <w:r w:rsidR="00B64808" w:rsidRPr="006746A8">
      <w:fldChar w:fldCharType="begin"/>
    </w:r>
    <w:r w:rsidR="00B64808" w:rsidRPr="006746A8">
      <w:instrText xml:space="preserve"> PAGE  \* Arabic  \* MERGEFORMAT </w:instrText>
    </w:r>
    <w:r w:rsidR="00B64808" w:rsidRPr="006746A8">
      <w:fldChar w:fldCharType="separate"/>
    </w:r>
    <w:r w:rsidR="00F97F6F">
      <w:rPr>
        <w:noProof/>
      </w:rPr>
      <w:t>2</w:t>
    </w:r>
    <w:r w:rsidR="00B64808" w:rsidRPr="006746A8">
      <w:fldChar w:fldCharType="end"/>
    </w:r>
    <w:r w:rsidR="00B64808" w:rsidRPr="006746A8">
      <w:t xml:space="preserve"> of </w:t>
    </w:r>
    <w:r w:rsidR="00F97F6F">
      <w:fldChar w:fldCharType="begin"/>
    </w:r>
    <w:r w:rsidR="00F97F6F">
      <w:instrText xml:space="preserve"> NUMPAGES  \* Arabic  \* MERGEFORMAT </w:instrText>
    </w:r>
    <w:r w:rsidR="00F97F6F">
      <w:fldChar w:fldCharType="separate"/>
    </w:r>
    <w:r w:rsidR="00F97F6F">
      <w:rPr>
        <w:noProof/>
      </w:rPr>
      <w:t>9</w:t>
    </w:r>
    <w:r w:rsidR="00F97F6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10" w:rsidRDefault="00966210">
      <w:r>
        <w:separator/>
      </w:r>
    </w:p>
  </w:footnote>
  <w:footnote w:type="continuationSeparator" w:id="0">
    <w:p w:rsidR="00966210" w:rsidRDefault="00966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5F" w:rsidRPr="0021185B" w:rsidRDefault="0021185B" w:rsidP="0021185B">
    <w:pPr>
      <w:pStyle w:val="Header"/>
      <w:tabs>
        <w:tab w:val="clear" w:pos="8640"/>
        <w:tab w:val="right" w:pos="14175"/>
      </w:tabs>
    </w:pPr>
    <w:r w:rsidRPr="00B32775">
      <w:rPr>
        <w:sz w:val="16"/>
        <w:szCs w:val="16"/>
      </w:rPr>
      <w:t>Department of Mines</w:t>
    </w:r>
    <w:r w:rsidR="005120A6" w:rsidRPr="00B32775">
      <w:rPr>
        <w:sz w:val="16"/>
        <w:szCs w:val="16"/>
      </w:rPr>
      <w:t>, Industry Regulation and Safety</w:t>
    </w:r>
    <w:r w:rsidRPr="00B32775">
      <w:rPr>
        <w:sz w:val="16"/>
        <w:szCs w:val="16"/>
      </w:rPr>
      <w:tab/>
    </w:r>
    <w:r w:rsidRPr="00B32775">
      <w:rPr>
        <w:sz w:val="16"/>
        <w:szCs w:val="16"/>
      </w:rPr>
      <w:tab/>
      <w:t>Resources Safety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468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C78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E89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3EB5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0AE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EB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148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505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8CB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F66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971EC"/>
    <w:multiLevelType w:val="hybridMultilevel"/>
    <w:tmpl w:val="807485EA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>
    <w:nsid w:val="07E80924"/>
    <w:multiLevelType w:val="hybridMultilevel"/>
    <w:tmpl w:val="7BF03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4417A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56F75F6"/>
    <w:multiLevelType w:val="hybridMultilevel"/>
    <w:tmpl w:val="5FDCFDCE"/>
    <w:lvl w:ilvl="0" w:tplc="674E9562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>
    <w:nsid w:val="18955201"/>
    <w:multiLevelType w:val="hybridMultilevel"/>
    <w:tmpl w:val="43EC4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F46268"/>
    <w:multiLevelType w:val="multilevel"/>
    <w:tmpl w:val="D8C219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2932645"/>
    <w:multiLevelType w:val="hybridMultilevel"/>
    <w:tmpl w:val="D05E5D7E"/>
    <w:lvl w:ilvl="0" w:tplc="D674C20C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7">
    <w:nsid w:val="2763391B"/>
    <w:multiLevelType w:val="hybridMultilevel"/>
    <w:tmpl w:val="FD740BDE"/>
    <w:lvl w:ilvl="0" w:tplc="0C090001">
      <w:start w:val="1"/>
      <w:numFmt w:val="bullet"/>
      <w:lvlText w:val=""/>
      <w:lvlJc w:val="left"/>
      <w:pPr>
        <w:tabs>
          <w:tab w:val="num" w:pos="411"/>
        </w:tabs>
        <w:ind w:left="4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>
    <w:nsid w:val="38AD7456"/>
    <w:multiLevelType w:val="hybridMultilevel"/>
    <w:tmpl w:val="99944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8430E"/>
    <w:multiLevelType w:val="hybridMultilevel"/>
    <w:tmpl w:val="795090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651072"/>
    <w:multiLevelType w:val="hybridMultilevel"/>
    <w:tmpl w:val="6A70E1F8"/>
    <w:lvl w:ilvl="0" w:tplc="E0E078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EC1F67"/>
    <w:multiLevelType w:val="hybridMultilevel"/>
    <w:tmpl w:val="C340EF94"/>
    <w:lvl w:ilvl="0" w:tplc="E0E07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305808"/>
    <w:multiLevelType w:val="hybridMultilevel"/>
    <w:tmpl w:val="EB54A0B6"/>
    <w:lvl w:ilvl="0" w:tplc="2FD67C5A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3">
    <w:nsid w:val="55990E2A"/>
    <w:multiLevelType w:val="hybridMultilevel"/>
    <w:tmpl w:val="48A8A27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>
    <w:nsid w:val="57995E66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5">
    <w:nsid w:val="5C7248C5"/>
    <w:multiLevelType w:val="hybridMultilevel"/>
    <w:tmpl w:val="C6AAE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313C5"/>
    <w:multiLevelType w:val="multilevel"/>
    <w:tmpl w:val="6A466E66"/>
    <w:lvl w:ilvl="0">
      <w:start w:val="1"/>
      <w:numFmt w:val="bullet"/>
      <w:lvlText w:val=""/>
      <w:lvlJc w:val="left"/>
      <w:pPr>
        <w:tabs>
          <w:tab w:val="num" w:pos="618"/>
        </w:tabs>
        <w:ind w:left="618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7">
    <w:nsid w:val="641B28F5"/>
    <w:multiLevelType w:val="hybridMultilevel"/>
    <w:tmpl w:val="EF7E7F06"/>
    <w:lvl w:ilvl="0" w:tplc="C2049C54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8">
    <w:nsid w:val="648C2D8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99A7CD1"/>
    <w:multiLevelType w:val="multilevel"/>
    <w:tmpl w:val="EB54A0B6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0">
    <w:nsid w:val="74122BAB"/>
    <w:multiLevelType w:val="hybridMultilevel"/>
    <w:tmpl w:val="DEEE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3"/>
  </w:num>
  <w:num w:numId="4">
    <w:abstractNumId w:val="10"/>
  </w:num>
  <w:num w:numId="5">
    <w:abstractNumId w:val="20"/>
  </w:num>
  <w:num w:numId="6">
    <w:abstractNumId w:val="14"/>
  </w:num>
  <w:num w:numId="7">
    <w:abstractNumId w:val="18"/>
  </w:num>
  <w:num w:numId="8">
    <w:abstractNumId w:val="28"/>
  </w:num>
  <w:num w:numId="9">
    <w:abstractNumId w:val="22"/>
  </w:num>
  <w:num w:numId="10">
    <w:abstractNumId w:val="24"/>
  </w:num>
  <w:num w:numId="11">
    <w:abstractNumId w:val="29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  <w:num w:numId="24">
    <w:abstractNumId w:val="26"/>
  </w:num>
  <w:num w:numId="25">
    <w:abstractNumId w:val="17"/>
  </w:num>
  <w:num w:numId="26">
    <w:abstractNumId w:val="19"/>
  </w:num>
  <w:num w:numId="27">
    <w:abstractNumId w:val="12"/>
  </w:num>
  <w:num w:numId="28">
    <w:abstractNumId w:val="25"/>
  </w:num>
  <w:num w:numId="29">
    <w:abstractNumId w:val="11"/>
  </w:num>
  <w:num w:numId="30">
    <w:abstractNumId w:val="3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80"/>
    <w:rsid w:val="00001177"/>
    <w:rsid w:val="00002040"/>
    <w:rsid w:val="000071EC"/>
    <w:rsid w:val="00012D50"/>
    <w:rsid w:val="00013EE9"/>
    <w:rsid w:val="00014CF9"/>
    <w:rsid w:val="00025E01"/>
    <w:rsid w:val="000305A3"/>
    <w:rsid w:val="00051E1B"/>
    <w:rsid w:val="0005553E"/>
    <w:rsid w:val="000557A6"/>
    <w:rsid w:val="00057315"/>
    <w:rsid w:val="00064D6E"/>
    <w:rsid w:val="000746B0"/>
    <w:rsid w:val="00077E5F"/>
    <w:rsid w:val="0008408A"/>
    <w:rsid w:val="00085ADB"/>
    <w:rsid w:val="000A76F7"/>
    <w:rsid w:val="000B0C80"/>
    <w:rsid w:val="000B47D1"/>
    <w:rsid w:val="000B51E4"/>
    <w:rsid w:val="000E2F7A"/>
    <w:rsid w:val="000E45A6"/>
    <w:rsid w:val="000F3E5F"/>
    <w:rsid w:val="001019F6"/>
    <w:rsid w:val="0010302D"/>
    <w:rsid w:val="00105AA0"/>
    <w:rsid w:val="00120806"/>
    <w:rsid w:val="00130CE7"/>
    <w:rsid w:val="001326E5"/>
    <w:rsid w:val="00137BDB"/>
    <w:rsid w:val="00137DFE"/>
    <w:rsid w:val="0015017F"/>
    <w:rsid w:val="00163622"/>
    <w:rsid w:val="00176B61"/>
    <w:rsid w:val="001824CF"/>
    <w:rsid w:val="001918A9"/>
    <w:rsid w:val="00194309"/>
    <w:rsid w:val="001A3CEC"/>
    <w:rsid w:val="001A5DFF"/>
    <w:rsid w:val="001C238B"/>
    <w:rsid w:val="001C39A7"/>
    <w:rsid w:val="001D247B"/>
    <w:rsid w:val="001E03B1"/>
    <w:rsid w:val="001E5E2B"/>
    <w:rsid w:val="001F42C2"/>
    <w:rsid w:val="001F7594"/>
    <w:rsid w:val="00201DE9"/>
    <w:rsid w:val="00203A12"/>
    <w:rsid w:val="0021185B"/>
    <w:rsid w:val="002139E8"/>
    <w:rsid w:val="00215686"/>
    <w:rsid w:val="00216D1B"/>
    <w:rsid w:val="00220B89"/>
    <w:rsid w:val="00223DEB"/>
    <w:rsid w:val="0022496C"/>
    <w:rsid w:val="00230367"/>
    <w:rsid w:val="00245C92"/>
    <w:rsid w:val="0025049A"/>
    <w:rsid w:val="0025684B"/>
    <w:rsid w:val="00265E85"/>
    <w:rsid w:val="0026663B"/>
    <w:rsid w:val="0029255D"/>
    <w:rsid w:val="0029644A"/>
    <w:rsid w:val="002B6037"/>
    <w:rsid w:val="002B7415"/>
    <w:rsid w:val="002C0DF6"/>
    <w:rsid w:val="002C2E5E"/>
    <w:rsid w:val="002D60BC"/>
    <w:rsid w:val="002D7B56"/>
    <w:rsid w:val="002E5235"/>
    <w:rsid w:val="002E6E8F"/>
    <w:rsid w:val="002F473C"/>
    <w:rsid w:val="002F4753"/>
    <w:rsid w:val="00300D52"/>
    <w:rsid w:val="00303EC6"/>
    <w:rsid w:val="003064A1"/>
    <w:rsid w:val="00310C2C"/>
    <w:rsid w:val="00323960"/>
    <w:rsid w:val="003417E4"/>
    <w:rsid w:val="00344624"/>
    <w:rsid w:val="0035136E"/>
    <w:rsid w:val="00351BD5"/>
    <w:rsid w:val="00353346"/>
    <w:rsid w:val="00355589"/>
    <w:rsid w:val="0036248F"/>
    <w:rsid w:val="00375B04"/>
    <w:rsid w:val="0037711F"/>
    <w:rsid w:val="00382732"/>
    <w:rsid w:val="003835EB"/>
    <w:rsid w:val="0039639E"/>
    <w:rsid w:val="003A0A96"/>
    <w:rsid w:val="003B4F4C"/>
    <w:rsid w:val="003C7FC2"/>
    <w:rsid w:val="003D7E5F"/>
    <w:rsid w:val="003E008C"/>
    <w:rsid w:val="003F6C0D"/>
    <w:rsid w:val="00401BFC"/>
    <w:rsid w:val="004049AB"/>
    <w:rsid w:val="0040663B"/>
    <w:rsid w:val="0041218C"/>
    <w:rsid w:val="0041529C"/>
    <w:rsid w:val="004231F8"/>
    <w:rsid w:val="00424AF4"/>
    <w:rsid w:val="0043735E"/>
    <w:rsid w:val="004413F7"/>
    <w:rsid w:val="004422C8"/>
    <w:rsid w:val="00445998"/>
    <w:rsid w:val="0044705F"/>
    <w:rsid w:val="00452F99"/>
    <w:rsid w:val="004801F5"/>
    <w:rsid w:val="004839D8"/>
    <w:rsid w:val="00485125"/>
    <w:rsid w:val="00486F0B"/>
    <w:rsid w:val="004B7310"/>
    <w:rsid w:val="004C38FF"/>
    <w:rsid w:val="004C696C"/>
    <w:rsid w:val="004D2A14"/>
    <w:rsid w:val="004D3EA9"/>
    <w:rsid w:val="004D52F9"/>
    <w:rsid w:val="004D70B3"/>
    <w:rsid w:val="004F44E0"/>
    <w:rsid w:val="00507003"/>
    <w:rsid w:val="00507576"/>
    <w:rsid w:val="005120A6"/>
    <w:rsid w:val="00527EF0"/>
    <w:rsid w:val="0054015B"/>
    <w:rsid w:val="005412A7"/>
    <w:rsid w:val="00543B7A"/>
    <w:rsid w:val="00551BD6"/>
    <w:rsid w:val="005547D3"/>
    <w:rsid w:val="00571662"/>
    <w:rsid w:val="00592785"/>
    <w:rsid w:val="005A47D3"/>
    <w:rsid w:val="005A4FF1"/>
    <w:rsid w:val="005A5422"/>
    <w:rsid w:val="005B3F64"/>
    <w:rsid w:val="005B424D"/>
    <w:rsid w:val="005C4479"/>
    <w:rsid w:val="005D448A"/>
    <w:rsid w:val="005D6DAD"/>
    <w:rsid w:val="005D7117"/>
    <w:rsid w:val="005E1FCC"/>
    <w:rsid w:val="005E2292"/>
    <w:rsid w:val="00603803"/>
    <w:rsid w:val="00603E08"/>
    <w:rsid w:val="006047A5"/>
    <w:rsid w:val="00611127"/>
    <w:rsid w:val="006122E4"/>
    <w:rsid w:val="0062050B"/>
    <w:rsid w:val="00621710"/>
    <w:rsid w:val="00623544"/>
    <w:rsid w:val="00623666"/>
    <w:rsid w:val="00631338"/>
    <w:rsid w:val="00633FBE"/>
    <w:rsid w:val="00650E7C"/>
    <w:rsid w:val="006516A5"/>
    <w:rsid w:val="00652C8A"/>
    <w:rsid w:val="00663655"/>
    <w:rsid w:val="0066513B"/>
    <w:rsid w:val="00666CB5"/>
    <w:rsid w:val="00667196"/>
    <w:rsid w:val="006746A8"/>
    <w:rsid w:val="0069765B"/>
    <w:rsid w:val="006A326B"/>
    <w:rsid w:val="006B627A"/>
    <w:rsid w:val="006C1062"/>
    <w:rsid w:val="006C4CFD"/>
    <w:rsid w:val="006D10A0"/>
    <w:rsid w:val="006D21FD"/>
    <w:rsid w:val="006D53E1"/>
    <w:rsid w:val="006E7748"/>
    <w:rsid w:val="00711E01"/>
    <w:rsid w:val="0071424A"/>
    <w:rsid w:val="00721226"/>
    <w:rsid w:val="00732265"/>
    <w:rsid w:val="00740335"/>
    <w:rsid w:val="007446EE"/>
    <w:rsid w:val="0074482F"/>
    <w:rsid w:val="00747DF6"/>
    <w:rsid w:val="00753A90"/>
    <w:rsid w:val="00757FDA"/>
    <w:rsid w:val="007612B5"/>
    <w:rsid w:val="00765CF7"/>
    <w:rsid w:val="00765D0A"/>
    <w:rsid w:val="00767607"/>
    <w:rsid w:val="00775490"/>
    <w:rsid w:val="007830BC"/>
    <w:rsid w:val="007931F8"/>
    <w:rsid w:val="00793D2C"/>
    <w:rsid w:val="007B206C"/>
    <w:rsid w:val="007B6383"/>
    <w:rsid w:val="007C00DD"/>
    <w:rsid w:val="007C0144"/>
    <w:rsid w:val="007D0A9D"/>
    <w:rsid w:val="007D39C7"/>
    <w:rsid w:val="007D6B04"/>
    <w:rsid w:val="007D76AF"/>
    <w:rsid w:val="007E2CF7"/>
    <w:rsid w:val="007F04F7"/>
    <w:rsid w:val="007F14CE"/>
    <w:rsid w:val="007F38CE"/>
    <w:rsid w:val="007F750A"/>
    <w:rsid w:val="007F7CD4"/>
    <w:rsid w:val="008115AF"/>
    <w:rsid w:val="008267C2"/>
    <w:rsid w:val="008334C3"/>
    <w:rsid w:val="00835B77"/>
    <w:rsid w:val="008452E8"/>
    <w:rsid w:val="00845698"/>
    <w:rsid w:val="008476C6"/>
    <w:rsid w:val="008528E4"/>
    <w:rsid w:val="00852A21"/>
    <w:rsid w:val="00854AF6"/>
    <w:rsid w:val="00860F6E"/>
    <w:rsid w:val="00863618"/>
    <w:rsid w:val="00872C9A"/>
    <w:rsid w:val="00881538"/>
    <w:rsid w:val="00883753"/>
    <w:rsid w:val="008A2BC7"/>
    <w:rsid w:val="008A41A8"/>
    <w:rsid w:val="008A4230"/>
    <w:rsid w:val="008B3C97"/>
    <w:rsid w:val="008C0638"/>
    <w:rsid w:val="008C5DE4"/>
    <w:rsid w:val="008E7B80"/>
    <w:rsid w:val="008F1992"/>
    <w:rsid w:val="008F5479"/>
    <w:rsid w:val="008F5EDD"/>
    <w:rsid w:val="00903056"/>
    <w:rsid w:val="00912B3C"/>
    <w:rsid w:val="00916F32"/>
    <w:rsid w:val="0092139D"/>
    <w:rsid w:val="009241F7"/>
    <w:rsid w:val="0092442C"/>
    <w:rsid w:val="00926842"/>
    <w:rsid w:val="00934809"/>
    <w:rsid w:val="00956EA4"/>
    <w:rsid w:val="009629D7"/>
    <w:rsid w:val="00965C74"/>
    <w:rsid w:val="00966210"/>
    <w:rsid w:val="0096683C"/>
    <w:rsid w:val="00985480"/>
    <w:rsid w:val="00985805"/>
    <w:rsid w:val="009B2D5C"/>
    <w:rsid w:val="009C0AD1"/>
    <w:rsid w:val="009C2516"/>
    <w:rsid w:val="009D0169"/>
    <w:rsid w:val="009E0629"/>
    <w:rsid w:val="009E0B84"/>
    <w:rsid w:val="009E7BCE"/>
    <w:rsid w:val="009F110B"/>
    <w:rsid w:val="00A00266"/>
    <w:rsid w:val="00A06C2D"/>
    <w:rsid w:val="00A13569"/>
    <w:rsid w:val="00A2747D"/>
    <w:rsid w:val="00A40449"/>
    <w:rsid w:val="00A411AA"/>
    <w:rsid w:val="00A4133B"/>
    <w:rsid w:val="00A423FF"/>
    <w:rsid w:val="00A472E7"/>
    <w:rsid w:val="00A54212"/>
    <w:rsid w:val="00A5501A"/>
    <w:rsid w:val="00A55273"/>
    <w:rsid w:val="00A710A4"/>
    <w:rsid w:val="00A73E27"/>
    <w:rsid w:val="00A75C75"/>
    <w:rsid w:val="00A931AE"/>
    <w:rsid w:val="00A974EF"/>
    <w:rsid w:val="00AA10AE"/>
    <w:rsid w:val="00AA434D"/>
    <w:rsid w:val="00AB2492"/>
    <w:rsid w:val="00AB68FF"/>
    <w:rsid w:val="00AC0152"/>
    <w:rsid w:val="00AC3A00"/>
    <w:rsid w:val="00AC6BCC"/>
    <w:rsid w:val="00AC71D8"/>
    <w:rsid w:val="00AD15CE"/>
    <w:rsid w:val="00AD3EBA"/>
    <w:rsid w:val="00AD57D5"/>
    <w:rsid w:val="00AD5CE0"/>
    <w:rsid w:val="00AE5D81"/>
    <w:rsid w:val="00AF2A44"/>
    <w:rsid w:val="00AF4C35"/>
    <w:rsid w:val="00B172D6"/>
    <w:rsid w:val="00B24384"/>
    <w:rsid w:val="00B2678A"/>
    <w:rsid w:val="00B32446"/>
    <w:rsid w:val="00B32775"/>
    <w:rsid w:val="00B33A9C"/>
    <w:rsid w:val="00B449D8"/>
    <w:rsid w:val="00B46AA7"/>
    <w:rsid w:val="00B500B8"/>
    <w:rsid w:val="00B50661"/>
    <w:rsid w:val="00B54906"/>
    <w:rsid w:val="00B55FE2"/>
    <w:rsid w:val="00B60B33"/>
    <w:rsid w:val="00B613E2"/>
    <w:rsid w:val="00B62458"/>
    <w:rsid w:val="00B64808"/>
    <w:rsid w:val="00B7004E"/>
    <w:rsid w:val="00B70E15"/>
    <w:rsid w:val="00B760A1"/>
    <w:rsid w:val="00B8529F"/>
    <w:rsid w:val="00B964CE"/>
    <w:rsid w:val="00B9707D"/>
    <w:rsid w:val="00BA0FD2"/>
    <w:rsid w:val="00BA22B9"/>
    <w:rsid w:val="00BA6634"/>
    <w:rsid w:val="00BB1203"/>
    <w:rsid w:val="00BB6A9A"/>
    <w:rsid w:val="00BC1C1F"/>
    <w:rsid w:val="00BC530A"/>
    <w:rsid w:val="00BC6652"/>
    <w:rsid w:val="00BD1620"/>
    <w:rsid w:val="00BD349C"/>
    <w:rsid w:val="00BE062E"/>
    <w:rsid w:val="00BF0DB7"/>
    <w:rsid w:val="00BF7055"/>
    <w:rsid w:val="00C063BB"/>
    <w:rsid w:val="00C06AB2"/>
    <w:rsid w:val="00C07FE1"/>
    <w:rsid w:val="00C116FE"/>
    <w:rsid w:val="00C11EDE"/>
    <w:rsid w:val="00C16E55"/>
    <w:rsid w:val="00C17692"/>
    <w:rsid w:val="00C23FC7"/>
    <w:rsid w:val="00C256FB"/>
    <w:rsid w:val="00C32DED"/>
    <w:rsid w:val="00C45207"/>
    <w:rsid w:val="00C607B4"/>
    <w:rsid w:val="00C61336"/>
    <w:rsid w:val="00C63DC7"/>
    <w:rsid w:val="00C651B0"/>
    <w:rsid w:val="00C656B9"/>
    <w:rsid w:val="00C90AF6"/>
    <w:rsid w:val="00C95649"/>
    <w:rsid w:val="00CB2F68"/>
    <w:rsid w:val="00CC54E1"/>
    <w:rsid w:val="00CD4C5F"/>
    <w:rsid w:val="00CE0FC3"/>
    <w:rsid w:val="00CE6623"/>
    <w:rsid w:val="00CE7313"/>
    <w:rsid w:val="00CF636F"/>
    <w:rsid w:val="00D00F85"/>
    <w:rsid w:val="00D0586E"/>
    <w:rsid w:val="00D13FF8"/>
    <w:rsid w:val="00D274B1"/>
    <w:rsid w:val="00D34D5F"/>
    <w:rsid w:val="00D505AD"/>
    <w:rsid w:val="00D63FE5"/>
    <w:rsid w:val="00D70DC2"/>
    <w:rsid w:val="00D82FDB"/>
    <w:rsid w:val="00D8755C"/>
    <w:rsid w:val="00D87E60"/>
    <w:rsid w:val="00D918C4"/>
    <w:rsid w:val="00D9416E"/>
    <w:rsid w:val="00D94277"/>
    <w:rsid w:val="00D9792C"/>
    <w:rsid w:val="00DB3744"/>
    <w:rsid w:val="00DC76A6"/>
    <w:rsid w:val="00DD06C5"/>
    <w:rsid w:val="00DD581D"/>
    <w:rsid w:val="00DE27A5"/>
    <w:rsid w:val="00DE6117"/>
    <w:rsid w:val="00DF52BC"/>
    <w:rsid w:val="00DF5ECA"/>
    <w:rsid w:val="00DF690C"/>
    <w:rsid w:val="00E007BC"/>
    <w:rsid w:val="00E01C17"/>
    <w:rsid w:val="00E05FCB"/>
    <w:rsid w:val="00E11647"/>
    <w:rsid w:val="00E15E65"/>
    <w:rsid w:val="00E16084"/>
    <w:rsid w:val="00E169ED"/>
    <w:rsid w:val="00E2509E"/>
    <w:rsid w:val="00E30D89"/>
    <w:rsid w:val="00E331D7"/>
    <w:rsid w:val="00E407E0"/>
    <w:rsid w:val="00E4082F"/>
    <w:rsid w:val="00E41FBB"/>
    <w:rsid w:val="00E508A3"/>
    <w:rsid w:val="00E50D70"/>
    <w:rsid w:val="00E52550"/>
    <w:rsid w:val="00E6611C"/>
    <w:rsid w:val="00E7746B"/>
    <w:rsid w:val="00E81557"/>
    <w:rsid w:val="00E84EF9"/>
    <w:rsid w:val="00E8749D"/>
    <w:rsid w:val="00E971D2"/>
    <w:rsid w:val="00EA107E"/>
    <w:rsid w:val="00EA26DF"/>
    <w:rsid w:val="00EA4E4D"/>
    <w:rsid w:val="00EB06F8"/>
    <w:rsid w:val="00EB791D"/>
    <w:rsid w:val="00EC437D"/>
    <w:rsid w:val="00EC7D89"/>
    <w:rsid w:val="00EE54E8"/>
    <w:rsid w:val="00EF48C4"/>
    <w:rsid w:val="00EF6DC1"/>
    <w:rsid w:val="00F04BAA"/>
    <w:rsid w:val="00F10215"/>
    <w:rsid w:val="00F22454"/>
    <w:rsid w:val="00F23560"/>
    <w:rsid w:val="00F338CA"/>
    <w:rsid w:val="00F3718B"/>
    <w:rsid w:val="00F46CF6"/>
    <w:rsid w:val="00F52F79"/>
    <w:rsid w:val="00F57E4E"/>
    <w:rsid w:val="00F85CC3"/>
    <w:rsid w:val="00F930C9"/>
    <w:rsid w:val="00F94A20"/>
    <w:rsid w:val="00F97F6F"/>
    <w:rsid w:val="00FA6D72"/>
    <w:rsid w:val="00FB3B26"/>
    <w:rsid w:val="00FB528E"/>
    <w:rsid w:val="00FC080E"/>
    <w:rsid w:val="00FD1E7D"/>
    <w:rsid w:val="00FD504D"/>
    <w:rsid w:val="00FE2C90"/>
    <w:rsid w:val="00FE5F54"/>
    <w:rsid w:val="00FE5F9D"/>
    <w:rsid w:val="00FE6CB0"/>
    <w:rsid w:val="00FF22BD"/>
    <w:rsid w:val="00FF59DD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2F05D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24A"/>
    <w:pPr>
      <w:spacing w:after="160"/>
    </w:pPr>
    <w:rPr>
      <w:rFonts w:ascii="Arial" w:hAnsi="Arial" w:cs="Arial"/>
      <w:bCs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082F"/>
    <w:pPr>
      <w:keepNext/>
      <w:spacing w:before="240" w:after="120"/>
      <w:outlineLvl w:val="0"/>
    </w:pPr>
    <w:rPr>
      <w:b/>
      <w:bCs w:val="0"/>
      <w:caps/>
      <w:color w:val="000080"/>
      <w:sz w:val="24"/>
      <w:szCs w:val="36"/>
    </w:rPr>
  </w:style>
  <w:style w:type="paragraph" w:styleId="Heading2">
    <w:name w:val="heading 2"/>
    <w:basedOn w:val="Normal"/>
    <w:next w:val="Normal"/>
    <w:qFormat/>
    <w:rsid w:val="00B760A1"/>
    <w:pPr>
      <w:keepNext/>
      <w:spacing w:before="240" w:after="120"/>
      <w:outlineLvl w:val="1"/>
    </w:pPr>
    <w:rPr>
      <w:rFonts w:ascii="Arial Bold" w:hAnsi="Arial Bold"/>
      <w:b/>
      <w:caps/>
      <w:color w:val="000080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11EDE"/>
    <w:pPr>
      <w:keepNext/>
      <w:keepLines/>
      <w:spacing w:before="240" w:after="120"/>
      <w:outlineLvl w:val="2"/>
    </w:pPr>
    <w:rPr>
      <w:rFonts w:ascii="Arial Bold" w:eastAsiaTheme="majorEastAsia" w:hAnsi="Arial Bold" w:cstheme="majorBidi"/>
      <w:b/>
      <w:bCs w:val="0"/>
      <w: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82F"/>
    <w:rPr>
      <w:rFonts w:ascii="Arial" w:hAnsi="Arial" w:cs="Arial"/>
      <w:b/>
      <w:caps/>
      <w:color w:val="000080"/>
      <w:sz w:val="24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C11EDE"/>
    <w:rPr>
      <w:rFonts w:ascii="Arial Bold" w:eastAsiaTheme="majorEastAsia" w:hAnsi="Arial Bold" w:cstheme="majorBidi"/>
      <w:b/>
      <w:caps/>
      <w:color w:val="000080"/>
      <w:szCs w:val="24"/>
      <w:lang w:eastAsia="en-US"/>
    </w:rPr>
  </w:style>
  <w:style w:type="character" w:styleId="Hyperlink">
    <w:name w:val="Hyperlink"/>
    <w:basedOn w:val="DefaultParagraphFont"/>
    <w:uiPriority w:val="99"/>
    <w:rsid w:val="00663655"/>
    <w:rPr>
      <w:color w:val="0000FF"/>
      <w:u w:val="single"/>
    </w:rPr>
  </w:style>
  <w:style w:type="paragraph" w:styleId="Header">
    <w:name w:val="header"/>
    <w:basedOn w:val="Normal"/>
    <w:rsid w:val="000B0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0266"/>
    <w:pPr>
      <w:tabs>
        <w:tab w:val="left" w:pos="3515"/>
        <w:tab w:val="left" w:pos="8789"/>
      </w:tabs>
      <w:spacing w:after="0"/>
    </w:pPr>
    <w:rPr>
      <w:color w:val="000000" w:themeColor="text1"/>
      <w:sz w:val="18"/>
    </w:rPr>
  </w:style>
  <w:style w:type="paragraph" w:customStyle="1" w:styleId="Tablenormal0">
    <w:name w:val="Table normal"/>
    <w:basedOn w:val="Normal"/>
    <w:rsid w:val="00CE6623"/>
    <w:pPr>
      <w:keepNext/>
      <w:keepLines/>
      <w:spacing w:before="60" w:after="60" w:line="240" w:lineRule="atLeast"/>
      <w:ind w:left="51" w:right="40"/>
    </w:pPr>
    <w:rPr>
      <w:snapToGrid w:val="0"/>
    </w:rPr>
  </w:style>
  <w:style w:type="paragraph" w:customStyle="1" w:styleId="Tablebullet">
    <w:name w:val="Table bullet"/>
    <w:basedOn w:val="Tablenormal0"/>
    <w:rsid w:val="00AC5C38"/>
    <w:pPr>
      <w:numPr>
        <w:numId w:val="12"/>
      </w:numPr>
    </w:pPr>
  </w:style>
  <w:style w:type="character" w:styleId="PageNumber">
    <w:name w:val="page number"/>
    <w:basedOn w:val="DefaultParagraphFont"/>
    <w:rsid w:val="009E7BCE"/>
    <w:rPr>
      <w:rFonts w:ascii="Arial" w:hAnsi="Arial"/>
      <w:color w:val="000000"/>
      <w:sz w:val="18"/>
    </w:rPr>
  </w:style>
  <w:style w:type="table" w:styleId="TableGrid">
    <w:name w:val="Table Grid"/>
    <w:basedOn w:val="TableNormal"/>
    <w:rsid w:val="009E7BCE"/>
    <w:pPr>
      <w:spacing w:after="1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698"/>
    <w:pPr>
      <w:ind w:left="720"/>
      <w:contextualSpacing/>
    </w:pPr>
  </w:style>
  <w:style w:type="character" w:styleId="CommentReference">
    <w:name w:val="annotation reference"/>
    <w:basedOn w:val="DefaultParagraphFont"/>
    <w:rsid w:val="003A0A96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04B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n-US" w:eastAsia="ja-JP"/>
    </w:rPr>
  </w:style>
  <w:style w:type="paragraph" w:styleId="CommentText">
    <w:name w:val="annotation text"/>
    <w:basedOn w:val="Normal"/>
    <w:link w:val="CommentTextChar"/>
    <w:rsid w:val="003A0A96"/>
    <w:pPr>
      <w:spacing w:after="120"/>
    </w:pPr>
    <w:rPr>
      <w:rFonts w:cs="Times New Roman"/>
      <w:bCs w:val="0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rsid w:val="003A0A96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2C2E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E5E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FooterChar">
    <w:name w:val="Footer Char"/>
    <w:link w:val="Footer"/>
    <w:rsid w:val="00A00266"/>
    <w:rPr>
      <w:rFonts w:ascii="Arial" w:hAnsi="Arial" w:cs="Arial"/>
      <w:bCs/>
      <w:color w:val="000000" w:themeColor="text1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LibrariesRef xmlns="e7c7f6fc-0c1f-4db4-bdfb-1d5a5c7fbe5d">41</QmsLibrariesRef>
    <QmsSectionsRef xmlns="e7c7f6fc-0c1f-4db4-bdfb-1d5a5c7fbe5d">184</QmsSectionsRef>
    <QmsBusinessAreasRef xmlns="e7c7f6fc-0c1f-4db4-bdfb-1d5a5c7fbe5d">10</QmsBusinessAreasRef>
    <QmsDocumentPurpose xmlns="http://schemas.microsoft.com/sharepoint/v3/fields" xsi:nil="true"/>
    <QmsSubSectionsRef xmlns="e7c7f6fc-0c1f-4db4-bdfb-1d5a5c7fbe5d">365</QmsSubSectionsRef>
    <QmsVariationsRef xmlns="e7c7f6fc-0c1f-4db4-bdfb-1d5a5c7fbe5d" xsi:nil="true"/>
    <QmsApproverPositionsRef xmlns="e7c7f6fc-0c1f-4db4-bdfb-1d5a5c7fbe5d">20</QmsApproverPositionsRef>
    <QmsReviewFrequenciesRef xmlns="e7c7f6fc-0c1f-4db4-bdfb-1d5a5c7fbe5d">2</QmsReviewFrequenciesRef>
    <QmsRescinded xmlns="http://schemas.microsoft.com/sharepoint/v3">false</QmsRescinded>
    <QmsReviewDate xmlns="http://schemas.microsoft.com/sharepoint/v3/fields">2019-06-21T16:00:00+00:00</QmsReviewDate>
    <QmsLastApprovalStatus xmlns="http://schemas.microsoft.com/sharepoint/v3/fields" xsi:nil="true"/>
    <QmsLastReviewBy xmlns="http://schemas.microsoft.com/sharepoint/v3" xsi:nil="true"/>
    <QmsReviewerPositionsRef xmlns="e7c7f6fc-0c1f-4db4-bdfb-1d5a5c7fbe5d" xsi:nil="true"/>
    <QmsLastApproval xmlns="http://schemas.microsoft.com/sharepoint/v3/fields" xsi:nil="true"/>
    <QmsLastReviewComment xmlns="http://schemas.microsoft.com/sharepoint/v3/fields" xsi:nil="true"/>
    <QmsRiskRating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S Document" ma:contentTypeID="0x01010034869801477A44BA963EBC7CD35300A1002212A04463CCC14DA5AB134AEE88E8A9" ma:contentTypeVersion="6" ma:contentTypeDescription="Create a new document." ma:contentTypeScope="" ma:versionID="a2374c14174cadf27bf1797c4e72b708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00dfed528739b2c9863f2a4ecd3f6e4d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1" nillable="true" ma:displayName="Last Review By" ma:description="" ma:internalName="QmsLastReviewBy">
      <xsd:simpleType>
        <xsd:restriction base="dms:Text"/>
      </xsd:simpleType>
    </xsd:element>
    <xsd:element name="QmsLastReviewStatus" ma:index="22" nillable="true" ma:displayName="Last Review Status" ma:description="" ma:internalName="QmsLastReviewStatus">
      <xsd:simpleType>
        <xsd:restriction base="dms:Text"/>
      </xsd:simpleType>
    </xsd:element>
    <xsd:element name="QmsRescinded" ma:index="26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5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6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7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8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9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20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3" nillable="true" ma:displayName="Last Review Comment" ma:description="" ma:internalName="QmsLastReviewComment">
      <xsd:simpleType>
        <xsd:restriction base="dms:Note"/>
      </xsd:simpleType>
    </xsd:element>
    <xsd:element name="QmsLastApproval" ma:index="24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5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75F2-7993-4C9D-83CA-2BDA11DF54B3}">
  <ds:schemaRefs>
    <ds:schemaRef ds:uri="e7c7f6fc-0c1f-4db4-bdfb-1d5a5c7fbe5d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871D3A-ADAA-452F-BDD6-FE902DC82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1A75B-4CA8-499E-B8B1-39F3C16C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AECC1B-AED0-4000-8945-491244CA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15048A4F</Template>
  <TotalTime>1</TotalTime>
  <Pages>9</Pages>
  <Words>1315</Words>
  <Characters>7102</Characters>
  <Application>Microsoft Office Word</Application>
  <DocSecurity>4</DocSecurity>
  <Lines>591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Template- Element</vt:lpstr>
    </vt:vector>
  </TitlesOfParts>
  <Company>DoCEP</Company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Template- Element</dc:title>
  <dc:subject>MS - Audit - Template - GENERIC AUDIT TEMPLATE</dc:subject>
  <dc:creator>TseYin.CHANG</dc:creator>
  <cp:keywords>DocSrc=Internal&lt;!&gt;VersionNo=1&lt;!&gt;VersionBy=TseYin.CHANG&lt;!&gt;VersionDate=07 Mar 2013 12:12:31&lt;!&gt;Branch=Business Development&lt;!&gt;Division=&lt;!&gt;Section=Communications&lt;!&gt;LockedBy=TseYin.CHANG&lt;!&gt;LockedOn=30/07/2013 11:25:44&lt;!&gt;LockedBehalfof=TseYin.CHANG</cp:keywords>
  <dc:description>FileNo=A0200/201002&lt;!&gt;Site=Cannington&lt;!&gt;MDNo=&lt;!&gt;DocType=Web Document&lt;!&gt;DocSec=MS - Audit guidelines and templates&lt;!&gt;Owner=tseyin.chang&lt;!&gt;Filename=000981.tseyin.chang.docx&lt;!&gt;Project=&lt;!&gt;Group=Resources Safety&lt;!&gt;SecType=For Public Release</dc:description>
  <cp:lastModifiedBy>COLE, Alicia</cp:lastModifiedBy>
  <cp:revision>2</cp:revision>
  <cp:lastPrinted>2016-02-04T01:14:00Z</cp:lastPrinted>
  <dcterms:created xsi:type="dcterms:W3CDTF">2017-10-02T06:34:00Z</dcterms:created>
  <dcterms:modified xsi:type="dcterms:W3CDTF">2017-10-02T06:34:00Z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Cannington</vt:lpwstr>
  </property>
  <property fmtid="{D5CDD505-2E9C-101B-9397-08002B2CF9AE}" pid="3" name="SecType">
    <vt:lpwstr>For Public Release</vt:lpwstr>
  </property>
  <property fmtid="{D5CDD505-2E9C-101B-9397-08002B2CF9AE}" pid="4" name="ContentTypeId">
    <vt:lpwstr>0x01010034869801477A44BA963EBC7CD35300A1002212A04463CCC14DA5AB134AEE88E8A9</vt:lpwstr>
  </property>
  <property fmtid="{D5CDD505-2E9C-101B-9397-08002B2CF9AE}" pid="5" name="DataStore">
    <vt:lpwstr>Central</vt:lpwstr>
  </property>
</Properties>
</file>