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Safety and health representatives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Election of safety and health representatives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When workers formally request a safety and health representative (SHRep) be elected, the employer has systems, policies and procedures in place to accommodate such nominations by an acknowledged election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A </w:t>
                  </w:r>
                  <w:r>
                    <w:t>suitable election process where required has been established to meet the sites needs through a process of consultation by all parties.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There was prompt notification by the employer of the election results to the site’s workers, the State Mining </w:t>
                  </w:r>
                  <w:r>
                    <w:t>Engineer and those successfully elected to the position.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Training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SHReps have attended an accredited training course (designed for SHReps) in the first 12 months, preferably within 3 months of being </w:t>
                  </w:r>
                  <w:r>
                    <w:t>elected.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Re-elected SHReps have attended a refresher training course if mutually agreed upon.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SHReps are able to attend an accredited training course at no cost to them or loss of </w:t>
                  </w:r>
                  <w:r>
                    <w:lastRenderedPageBreak/>
                    <w:t>entitlement.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Role of the safety and health representative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SHReps are able to consult with workers and the employer to promote a positive safety culture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SHReps are able to participate in the site safety and health committee meeting to </w:t>
                  </w:r>
                  <w:r>
                    <w:t>assist with safety across the entire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Site functions of the safety and health representative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SHReps are able to carry out their role and functions on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The set up and composition of the </w:t>
                  </w:r>
                  <w:r>
                    <w:t>site’s safety and health committee reflects work groups within the organisation and meets the intent of the legislation.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The safety and health committee reviews, recommends and assists the site employer to improve site practices, policies and </w:t>
                  </w:r>
                  <w:r>
                    <w:t>procedures to reduce injury and disease, control hazards and promoting a positive safety culture.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Employers duties to safety and health representatives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Information relating to hazards at the mine that </w:t>
                  </w:r>
                  <w:r>
                    <w:t>expose workers to risks is made available to the SHReps.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Where practicable, employers are to provide reasonable assistance and facilities to allow the SHRep to perform their duties.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A process is in place to inform SHReps of accidents, </w:t>
                  </w:r>
                  <w:r>
                    <w:t>incidents and dangerous occurrences and allow them to assist with the incident investigation.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There is a process in place to ensure SHReps are consulted on mine changes.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SHReps are provided the opportunity to accompany mines inspectors who </w:t>
                  </w:r>
                  <w:r>
                    <w:t>attend site for the purpose of administering the MSIA.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SHReps are assisted by a suitably experienced escort when performing an inspection in an area foreign to the SHRep.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 xml:space="preserve">Upon a worker request, a SHRep is made available during a safety and </w:t>
                  </w:r>
                  <w:r>
                    <w:t>health related interview with management.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Discrimination against safety and health representatives in the performance of their functions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Workers are not discriminated against or disadvantaged by raising a</w:t>
                  </w:r>
                  <w:r>
                    <w:t xml:space="preserve"> safety and health issue with the site SHRep, safety and health committee or a mines inspector.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6.2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There is a process to ensure a SHRep is not disadvantaged by any employer due to the past or present work functions performed as a SHRep.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Safety and health resolution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EF3087" w:rsidRDefault="003D7D6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EF3087" w:rsidRDefault="003D7D65">
                  <w:r>
                    <w:t>There is an agreed procedure to resolve any conflicting safety and health issues with the employer or manager of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EF3087" w:rsidRDefault="00EF3087"/>
        </w:tc>
      </w:tr>
    </w:tbl>
    <w:p w:rsidR="00000000" w:rsidRDefault="003D7D65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Safety and health representatives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3D7D65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3D7D65">
      <w:fldChar w:fldCharType="begin"/>
    </w:r>
    <w:r w:rsidR="003D7D65">
      <w:instrText xml:space="preserve"> NUMPAGES  \* Arabic  \* MERGEFORMAT </w:instrText>
    </w:r>
    <w:r w:rsidR="003D7D65">
      <w:fldChar w:fldCharType="separate"/>
    </w:r>
    <w:r w:rsidR="003D7D65">
      <w:rPr>
        <w:noProof/>
      </w:rPr>
      <w:t>4</w:t>
    </w:r>
    <w:r w:rsidR="003D7D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D65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3087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5C55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2006/documentManagement/types"/>
    <ds:schemaRef ds:uri="http://schemas.microsoft.com/sharepoint/v3"/>
    <ds:schemaRef ds:uri="http://purl.org/dc/dcmitype/"/>
    <ds:schemaRef ds:uri="e7c7f6fc-0c1f-4db4-bdfb-1d5a5c7fbe5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950B9-B126-4510-99AC-5C6A60C9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8E58DDF1</Template>
  <TotalTime>1</TotalTime>
  <Pages>4</Pages>
  <Words>575</Words>
  <Characters>3084</Characters>
  <Application>Microsoft Office Word</Application>
  <DocSecurity>4</DocSecurity>
  <Lines>205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2017-09-29T06:31:00Z</dcterms:created>
  <dcterms:modified xsi:type="dcterms:W3CDTF">2017-09-29T06:31:00Z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