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C2" w:rsidRDefault="00B32775" w:rsidP="003C7FC2">
      <w:pPr>
        <w:pStyle w:val="Heading1"/>
        <w:tabs>
          <w:tab w:val="right" w:pos="14459"/>
        </w:tabs>
      </w:pPr>
      <w:bookmarkStart w:id="0" w:name="_GoBack"/>
      <w:bookmarkEnd w:id="0"/>
      <w:r>
        <w:t>Tipping and dumping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685"/>
      </w:tblGrid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Stockpile / dump design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 xml:space="preserve">The </w:t>
                  </w:r>
                  <w:r>
                    <w:t>design is such that any future potential instability, due to the physical properties of the material being dumped, is minimised.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 xml:space="preserve">The design is such that any future potential instability in dump material compaction, due to the size and weight of the </w:t>
                  </w:r>
                  <w:r>
                    <w:t>equipment used during construction, is minimised.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The design is such that any future potential instability, due to the natural terrain and stability of the ground under the area of dump construction, is minimised.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 xml:space="preserve">The design is such that any </w:t>
                  </w:r>
                  <w:r>
                    <w:t>future potential instability, due to the drainage characteristics of the material being dumped, is minimised.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The design is such that any future potential instability, due to the probable climatic conditions of the area, is minimised.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1.6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 xml:space="preserve">The </w:t>
                  </w:r>
                  <w:r>
                    <w:t>design is such that any future potential hazard, due to the presence of hazardous material in the dump, is minimised.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1.7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The design is such that the hazards of dust generation from the dump are minimised.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1.8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The design is such that the hazards of c</w:t>
                  </w:r>
                  <w:r>
                    <w:t>ontamination from dump water drainage are minimised.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1.9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The design is such that any potential hazards from dump instability, which could affect other infrastructure, are minimised.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1.10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 xml:space="preserve">The design is such that any potential hazards from dump </w:t>
                  </w:r>
                  <w:r>
                    <w:t>instability or tipping activity, which could affect other infrastructure, has a containment bund of sufficient design and size to contain the material via a standard, procedure or risk assessment.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987703" w:rsidRDefault="00987703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Stockpile / dump layout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Demarcated routes, for use during either/both day and night, are provided to ideally separate traffic flows for access to, and exit from, the tipping areas.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 xml:space="preserve">Effective route marking, for use during either/both day and night, is </w:t>
                  </w:r>
                  <w:r>
                    <w:t>provided to indicate the safe approach to, and exit from, the tipping point.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2.3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Turning, reversing and tipping areas are of sufficient size to permit manoeuvring by the largest equipment that is intended to be used.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There is restricted access to</w:t>
                  </w:r>
                  <w:r>
                    <w:t xml:space="preserve"> the toe of the tipping areas of waste / heap leach dumps.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Traffic control measures have been devised and implemented.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Overhead powerlines do not pass over areas where truck bodies may be elevated.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987703" w:rsidRDefault="00987703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Operation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There are written procedures for dumping at all specified locations, and for the different types of equipment in use.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 xml:space="preserve">Operators of equipment are tested on their knowledge of the relevant procedures before being authorised to work </w:t>
                  </w:r>
                  <w:r>
                    <w:t>in a specific area.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Where dumping is carried out over an edge (dump or bin), and no spotter is used, hazards are reduced by the use of engineered backstops (width v height), or eliminated by tipping short and bulldozing.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3.4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Where dumping is carr</w:t>
                  </w:r>
                  <w:r>
                    <w:t>ied out over an edge (dump or bin), and no spotter is used, technology is used to assist in achieving a safe operation.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3.5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Where dumping is carried out over an edge (dump or bin), and no effective back stop has been provided, a spotter must be used.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3.6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Where night time dumping is carried out, the work area and dump edge are illuminated by stationary lighting.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3.7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During each working shift the dump surfaces, edges and faces are inspected by a competent person for any evidence of instability.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3.8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There is a rising, or at least a flat, grade towards the dump edge.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3.9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The dump tipping edges in use are straight with no curves and the windrows/backstops are maintained in height and profile.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3.10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 xml:space="preserve">There is regular maintenance of dump surfaces </w:t>
                  </w:r>
                  <w:r>
                    <w:t>as well as the access and exit routes.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3.11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There is control of dust generation by the use of water trucks, spray systems, etc.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3.12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There is restricted access to tipping areas for light vehicles and personnel on foot.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3.13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 xml:space="preserve">Simultaneous dumping </w:t>
                  </w:r>
                  <w:r>
                    <w:t>over the edge of a stockpile and loading out from its base is only carried out where there is sufficient separation between the work locations such that undermining of the dumping location is not possible.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3.14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No dumping directly into bodies of water i</w:t>
                  </w:r>
                  <w:r>
                    <w:t>s carried out.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3.15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Hazardous conditions are reported when observed and remedial action is taken.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3.16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Spotters, if used, are required to be stationed in a safe location.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3.17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Spotters, if used, are provided with weather protection.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3.18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Spotters, if used, are protected from dust.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3.19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Spotters, if used, wear reflective clothing.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987703" w:rsidRDefault="00BC03E5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3.20</w:t>
                  </w:r>
                </w:p>
              </w:tc>
              <w:tc>
                <w:tcPr>
                  <w:tcW w:w="4453" w:type="dxa"/>
                </w:tcPr>
                <w:p w:rsidR="00987703" w:rsidRDefault="00BC03E5">
                  <w:r>
                    <w:t>There is a standard code of signals for use between spotters and truck operators.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987703" w:rsidRDefault="00987703"/>
        </w:tc>
      </w:tr>
    </w:tbl>
    <w:p w:rsidR="00000000" w:rsidRDefault="00BC03E5"/>
    <w:sectPr w:rsidR="00000000" w:rsidSect="00DE27A5">
      <w:headerReference w:type="default" r:id="rId12"/>
      <w:footerReference w:type="default" r:id="rId13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10" w:rsidRDefault="00966210">
      <w:r>
        <w:separator/>
      </w:r>
    </w:p>
  </w:endnote>
  <w:endnote w:type="continuationSeparator" w:id="0">
    <w:p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6746A8" w:rsidRDefault="00B32775" w:rsidP="006746A8">
    <w:pPr>
      <w:pStyle w:val="Footer"/>
      <w:tabs>
        <w:tab w:val="right" w:pos="14459"/>
      </w:tabs>
    </w:pPr>
    <w:r>
      <w:t>Tipping and dumping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BC03E5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r w:rsidR="00BC03E5">
      <w:fldChar w:fldCharType="begin"/>
    </w:r>
    <w:r w:rsidR="00BC03E5">
      <w:instrText xml:space="preserve"> NUMPAGES  \* Arabic  \* MERGEFORMAT </w:instrText>
    </w:r>
    <w:r w:rsidR="00BC03E5">
      <w:fldChar w:fldCharType="separate"/>
    </w:r>
    <w:r w:rsidR="00BC03E5">
      <w:rPr>
        <w:noProof/>
      </w:rPr>
      <w:t>4</w:t>
    </w:r>
    <w:r w:rsidR="00BC03E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10" w:rsidRDefault="00966210">
      <w:r>
        <w:separator/>
      </w:r>
    </w:p>
  </w:footnote>
  <w:footnote w:type="continuationSeparator" w:id="0">
    <w:p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87703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03E5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85CC3"/>
    <w:rsid w:val="00F930C9"/>
    <w:rsid w:val="00F94A20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4B06D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75F2-7993-4C9D-83CA-2BDA11DF54B3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e7c7f6fc-0c1f-4db4-bdfb-1d5a5c7fbe5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649D04-9D4B-4A22-BD18-5C6F0236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3413EC9B</Template>
  <TotalTime>1</TotalTime>
  <Pages>4</Pages>
  <Words>751</Words>
  <Characters>3948</Characters>
  <Application>Microsoft Office Word</Application>
  <DocSecurity>4</DocSecurity>
  <Lines>246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2017-09-29T06:35:00Z</dcterms:created>
  <dcterms:modified xsi:type="dcterms:W3CDTF">2017-09-29T06:35:00Z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