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Underground fire prevention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Fire prevention plan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1.1</w:t>
                  </w:r>
                </w:p>
              </w:tc>
              <w:tc>
                <w:tcPr>
                  <w:tcW w:w="4453" w:type="dxa"/>
                </w:tcPr>
                <w:p w:rsidR="00B91970" w:rsidRDefault="008D15DD">
                  <w:r>
                    <w:t xml:space="preserve">The </w:t>
                  </w:r>
                  <w:r>
                    <w:t>mine has prepared an underground fire prevention and control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1.2</w:t>
                  </w:r>
                </w:p>
              </w:tc>
              <w:tc>
                <w:tcPr>
                  <w:tcW w:w="4453" w:type="dxa"/>
                </w:tcPr>
                <w:p w:rsidR="00B91970" w:rsidRDefault="008D15DD">
                  <w:r>
                    <w:t>The plan has been developed through a process of risk assessment.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1.3</w:t>
                  </w:r>
                </w:p>
              </w:tc>
              <w:tc>
                <w:tcPr>
                  <w:tcW w:w="4453" w:type="dxa"/>
                </w:tcPr>
                <w:p w:rsidR="00B91970" w:rsidRDefault="008D15DD">
                  <w:r>
                    <w:t>The plan describes the fire risks present at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1.4</w:t>
                  </w:r>
                </w:p>
              </w:tc>
              <w:tc>
                <w:tcPr>
                  <w:tcW w:w="4453" w:type="dxa"/>
                </w:tcPr>
                <w:p w:rsidR="00B91970" w:rsidRDefault="008D15DD">
                  <w:r>
                    <w:t xml:space="preserve">The plan describes the methods by which the </w:t>
                  </w:r>
                  <w:r>
                    <w:t>fire risks are managed.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1.5</w:t>
                  </w:r>
                </w:p>
              </w:tc>
              <w:tc>
                <w:tcPr>
                  <w:tcW w:w="4453" w:type="dxa"/>
                </w:tcPr>
                <w:p w:rsidR="00B91970" w:rsidRDefault="008D15DD">
                  <w:r>
                    <w:t>There is a program for conducting fire emergency drills for underground employees.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Resource requirements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2.1</w:t>
                  </w:r>
                </w:p>
              </w:tc>
              <w:tc>
                <w:tcPr>
                  <w:tcW w:w="4453" w:type="dxa"/>
                </w:tcPr>
                <w:p w:rsidR="00B91970" w:rsidRDefault="008D15DD">
                  <w:r>
                    <w:t xml:space="preserve">Current fire fighting infrastructure and equipment is marked on an </w:t>
                  </w:r>
                  <w:r>
                    <w:t>underground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2.2</w:t>
                  </w:r>
                </w:p>
              </w:tc>
              <w:tc>
                <w:tcPr>
                  <w:tcW w:w="4453" w:type="dxa"/>
                </w:tcPr>
                <w:p w:rsidR="00B91970" w:rsidRDefault="008D15DD">
                  <w:r>
                    <w:t>Underground communications equipment is marked on an underground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2.3</w:t>
                  </w:r>
                </w:p>
              </w:tc>
              <w:tc>
                <w:tcPr>
                  <w:tcW w:w="4453" w:type="dxa"/>
                </w:tcPr>
                <w:p w:rsidR="00B91970" w:rsidRDefault="008D15DD">
                  <w:r>
                    <w:t>Fresh air bases, refuge chambers and escape ways are marked on an underground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2.4</w:t>
                  </w:r>
                </w:p>
              </w:tc>
              <w:tc>
                <w:tcPr>
                  <w:tcW w:w="4453" w:type="dxa"/>
                </w:tcPr>
                <w:p w:rsidR="00B91970" w:rsidRDefault="008D15DD">
                  <w:r>
                    <w:t xml:space="preserve">Current ventilation circuits are marked on an underground </w:t>
                  </w:r>
                  <w:r>
                    <w:t>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2.5</w:t>
                  </w:r>
                </w:p>
              </w:tc>
              <w:tc>
                <w:tcPr>
                  <w:tcW w:w="4453" w:type="dxa"/>
                </w:tcPr>
                <w:p w:rsidR="00B91970" w:rsidRDefault="008D15DD">
                  <w:r>
                    <w:t>Air doors, stoppings, fans, regulators and ventilating devices are marked on an underground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2.6</w:t>
                  </w:r>
                </w:p>
              </w:tc>
              <w:tc>
                <w:tcPr>
                  <w:tcW w:w="4453" w:type="dxa"/>
                </w:tcPr>
                <w:p w:rsidR="00B91970" w:rsidRDefault="008D15DD">
                  <w:r>
                    <w:t>The potential for ventilating air flow modifications, by means of primary fan operational adjustments, has been predetermined and document</w:t>
                  </w:r>
                  <w:r>
                    <w: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2.7</w:t>
                  </w:r>
                </w:p>
              </w:tc>
              <w:tc>
                <w:tcPr>
                  <w:tcW w:w="4453" w:type="dxa"/>
                </w:tcPr>
                <w:p w:rsidR="00B91970" w:rsidRDefault="008D15DD">
                  <w:r>
                    <w:t>There is an automated alarm system that can indicate the presence of an underground fire by monitoring the mine ventilating air exhaust.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2.8</w:t>
                  </w:r>
                </w:p>
              </w:tc>
              <w:tc>
                <w:tcPr>
                  <w:tcW w:w="4453" w:type="dxa"/>
                </w:tcPr>
                <w:p w:rsidR="00B91970" w:rsidRDefault="008D15DD">
                  <w:r>
                    <w:t xml:space="preserve">There is a system in place to enable all persons working underground to be promptly accounted for in </w:t>
                  </w:r>
                  <w:r>
                    <w:t>the event of an emergency.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2.9</w:t>
                  </w:r>
                </w:p>
              </w:tc>
              <w:tc>
                <w:tcPr>
                  <w:tcW w:w="4453" w:type="dxa"/>
                </w:tcPr>
                <w:p w:rsidR="00B91970" w:rsidRDefault="008D15DD">
                  <w:r>
                    <w:t>A means of transporting fire fighting equipment underground is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2.10</w:t>
                  </w:r>
                </w:p>
              </w:tc>
              <w:tc>
                <w:tcPr>
                  <w:tcW w:w="4453" w:type="dxa"/>
                </w:tcPr>
                <w:p w:rsidR="00B91970" w:rsidRDefault="008D15DD">
                  <w:r>
                    <w:t>Mutual aid agreements are in place with other mines.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Personnel and training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3.1</w:t>
                  </w:r>
                </w:p>
              </w:tc>
              <w:tc>
                <w:tcPr>
                  <w:tcW w:w="4453" w:type="dxa"/>
                </w:tcPr>
                <w:p w:rsidR="00B91970" w:rsidRDefault="008D15DD">
                  <w:r>
                    <w:t xml:space="preserve">All </w:t>
                  </w:r>
                  <w:r>
                    <w:t>underground personnel are instructed in how to use the emergency communications systems available.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3.2</w:t>
                  </w:r>
                </w:p>
              </w:tc>
              <w:tc>
                <w:tcPr>
                  <w:tcW w:w="4453" w:type="dxa"/>
                </w:tcPr>
                <w:p w:rsidR="00B91970" w:rsidRDefault="008D15DD">
                  <w:r>
                    <w:t>All underground personnel are trained in how to respond to an outbreak of fire.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3.3</w:t>
                  </w:r>
                </w:p>
              </w:tc>
              <w:tc>
                <w:tcPr>
                  <w:tcW w:w="4453" w:type="dxa"/>
                </w:tcPr>
                <w:p w:rsidR="00B91970" w:rsidRDefault="008D15DD">
                  <w:r>
                    <w:t xml:space="preserve">All underground personnel are trained in the evacuation </w:t>
                  </w:r>
                  <w:r>
                    <w:t>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3.4</w:t>
                  </w:r>
                </w:p>
              </w:tc>
              <w:tc>
                <w:tcPr>
                  <w:tcW w:w="4453" w:type="dxa"/>
                </w:tcPr>
                <w:p w:rsidR="00B91970" w:rsidRDefault="008D15DD">
                  <w:r>
                    <w:t xml:space="preserve">Training for underground mobile equipment operators includes awareness of the types of </w:t>
                  </w:r>
                  <w:r>
                    <w:lastRenderedPageBreak/>
                    <w:t>fires likely on mobile equipment and the methods used to control and fight them.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3.5</w:t>
                  </w:r>
                </w:p>
              </w:tc>
              <w:tc>
                <w:tcPr>
                  <w:tcW w:w="4453" w:type="dxa"/>
                </w:tcPr>
                <w:p w:rsidR="00B91970" w:rsidRDefault="008D15DD">
                  <w:r>
                    <w:t>Training for underground fixed equipment operators includes aw</w:t>
                  </w:r>
                  <w:r>
                    <w:t>areness of the types of fires likely on fixed equipment and the methods used to control and fight them.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3.6</w:t>
                  </w:r>
                </w:p>
              </w:tc>
              <w:tc>
                <w:tcPr>
                  <w:tcW w:w="4453" w:type="dxa"/>
                </w:tcPr>
                <w:p w:rsidR="00B91970" w:rsidRDefault="008D15DD">
                  <w:r>
                    <w:t>Only competent persons may use hot work equipment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Flammable / combustible liquids and materials underground</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4.1</w:t>
                  </w:r>
                </w:p>
              </w:tc>
              <w:tc>
                <w:tcPr>
                  <w:tcW w:w="4453" w:type="dxa"/>
                </w:tcPr>
                <w:p w:rsidR="00B91970" w:rsidRDefault="008D15DD">
                  <w:r>
                    <w:t>The District Inspector of Mines has been notified in writing of the location and details of each diesel fuel service and storage facility constructed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4.2</w:t>
                  </w:r>
                </w:p>
              </w:tc>
              <w:tc>
                <w:tcPr>
                  <w:tcW w:w="4453" w:type="dxa"/>
                </w:tcPr>
                <w:p w:rsidR="00B91970" w:rsidRDefault="008D15DD">
                  <w:r>
                    <w:t xml:space="preserve">Diesel fuel service and storage facilities are located </w:t>
                  </w:r>
                  <w:r>
                    <w:t>underground such as to minimise the risk of hazards from that facility.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4.3</w:t>
                  </w:r>
                </w:p>
              </w:tc>
              <w:tc>
                <w:tcPr>
                  <w:tcW w:w="4453" w:type="dxa"/>
                </w:tcPr>
                <w:p w:rsidR="00B91970" w:rsidRDefault="008D15DD">
                  <w:r>
                    <w:t>Diesel fuel service and storage facilities are constructed underground such as to minimise the risk of hazards from that facility.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4.4</w:t>
                  </w:r>
                </w:p>
              </w:tc>
              <w:tc>
                <w:tcPr>
                  <w:tcW w:w="4453" w:type="dxa"/>
                </w:tcPr>
                <w:p w:rsidR="00B91970" w:rsidRDefault="008D15DD">
                  <w:r>
                    <w:t>Diesel fuel service and storage facilit</w:t>
                  </w:r>
                  <w:r>
                    <w:t>ies located underground are ventilated such as to minimise the risk of hazards from that facility.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4.5</w:t>
                  </w:r>
                </w:p>
              </w:tc>
              <w:tc>
                <w:tcPr>
                  <w:tcW w:w="4453" w:type="dxa"/>
                </w:tcPr>
                <w:p w:rsidR="00B91970" w:rsidRDefault="008D15DD">
                  <w:r>
                    <w:t xml:space="preserve">Diesel fuel service and storage facilities that are constructed underground conform to the relevant Australian Standards.Diesel fuel service and </w:t>
                  </w:r>
                  <w:r>
                    <w:t>storage facilities that are constructed underground conform to the relevant Australian Standards.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4.6</w:t>
                  </w:r>
                </w:p>
              </w:tc>
              <w:tc>
                <w:tcPr>
                  <w:tcW w:w="4453" w:type="dxa"/>
                </w:tcPr>
                <w:p w:rsidR="00B91970" w:rsidRDefault="008D15DD">
                  <w:r>
                    <w:t xml:space="preserve">Where diesel fuel is reticulated from the surface to underground storage facilities, static </w:t>
                  </w:r>
                  <w:r>
                    <w:lastRenderedPageBreak/>
                    <w:t>electricity build up, due to fluid flow, is prevented.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4</w:t>
                  </w:r>
                  <w:r>
                    <w:rPr>
                      <w:color w:val="000080"/>
                    </w:rPr>
                    <w:t>.7</w:t>
                  </w:r>
                </w:p>
              </w:tc>
              <w:tc>
                <w:tcPr>
                  <w:tcW w:w="4453" w:type="dxa"/>
                </w:tcPr>
                <w:p w:rsidR="00B91970" w:rsidRDefault="008D15DD">
                  <w:r>
                    <w:t>Only purpose-built clearly labelled containers, which do not leak, are used to transport diesel fuel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4.8</w:t>
                  </w:r>
                </w:p>
              </w:tc>
              <w:tc>
                <w:tcPr>
                  <w:tcW w:w="4453" w:type="dxa"/>
                </w:tcPr>
                <w:p w:rsidR="00B91970" w:rsidRDefault="008D15DD">
                  <w:r>
                    <w:t>Diesel tank storage facilities located underground are bunded with a capacity of 150% of the largest tank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4.9</w:t>
                  </w:r>
                </w:p>
              </w:tc>
              <w:tc>
                <w:tcPr>
                  <w:tcW w:w="4453" w:type="dxa"/>
                </w:tcPr>
                <w:p w:rsidR="00B91970" w:rsidRDefault="008D15DD">
                  <w:r>
                    <w:t xml:space="preserve">The </w:t>
                  </w:r>
                  <w:r>
                    <w:t>quantity of diesel fuel stored underground does not exceed that required for one week of work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4.10</w:t>
                  </w:r>
                </w:p>
              </w:tc>
              <w:tc>
                <w:tcPr>
                  <w:tcW w:w="4453" w:type="dxa"/>
                </w:tcPr>
                <w:p w:rsidR="00B91970" w:rsidRDefault="008D15DD">
                  <w:r>
                    <w:t>Flammable / combustible liquids and materials are stored and / or dispensed with 'no smoking', ‘no naked flame’ signs displayed.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4.11</w:t>
                  </w:r>
                </w:p>
              </w:tc>
              <w:tc>
                <w:tcPr>
                  <w:tcW w:w="4453" w:type="dxa"/>
                </w:tcPr>
                <w:p w:rsidR="00B91970" w:rsidRDefault="008D15DD">
                  <w:r>
                    <w:t>Spill containment equipment is available at those locations where flammable / combustible liquids are dispensed and any spillage is immediately cleaned up.</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4.12</w:t>
                  </w:r>
                </w:p>
              </w:tc>
              <w:tc>
                <w:tcPr>
                  <w:tcW w:w="4453" w:type="dxa"/>
                </w:tcPr>
                <w:p w:rsidR="00B91970" w:rsidRDefault="008D15DD">
                  <w:r>
                    <w:t>Waste liquids and materials that are flammable / combustible are collected and removed to su</w:t>
                  </w:r>
                  <w:r>
                    <w:t>rface on a regular basis.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4.13</w:t>
                  </w:r>
                </w:p>
              </w:tc>
              <w:tc>
                <w:tcPr>
                  <w:tcW w:w="4453" w:type="dxa"/>
                </w:tcPr>
                <w:p w:rsidR="00B91970" w:rsidRDefault="008D15DD">
                  <w:r>
                    <w:t>An automatic fixed fire suppression system is installed at each location where oils, fuels and lubricants are stored or dispensed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4.14</w:t>
                  </w:r>
                </w:p>
              </w:tc>
              <w:tc>
                <w:tcPr>
                  <w:tcW w:w="4453" w:type="dxa"/>
                </w:tcPr>
                <w:p w:rsidR="00B91970" w:rsidRDefault="008D15DD">
                  <w:r>
                    <w:t xml:space="preserve">Automatic fixed fire suppression systems can be manually operated from </w:t>
                  </w:r>
                  <w:r>
                    <w:t>a safe location.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Underground mobile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5.1</w:t>
                  </w:r>
                </w:p>
              </w:tc>
              <w:tc>
                <w:tcPr>
                  <w:tcW w:w="4453" w:type="dxa"/>
                </w:tcPr>
                <w:p w:rsidR="00B91970" w:rsidRDefault="008D15DD">
                  <w:r>
                    <w:t xml:space="preserve">Underground mobile equipment that is fuelled underground is fitted with “fast fill” type fuelling </w:t>
                  </w:r>
                  <w:r>
                    <w:lastRenderedPageBreak/>
                    <w:t>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5.2</w:t>
                  </w:r>
                </w:p>
              </w:tc>
              <w:tc>
                <w:tcPr>
                  <w:tcW w:w="4453" w:type="dxa"/>
                </w:tcPr>
                <w:p w:rsidR="00B91970" w:rsidRDefault="008D15DD">
                  <w:r>
                    <w:t xml:space="preserve">Each diesel engined unit that is used </w:t>
                  </w:r>
                  <w:r>
                    <w:t>underground and is turbocharged or rated at 125 kW or more, and each loader or grader that is used underground, is equipped with an AFFF or FFFP fire suppression system with a minimum of 2 activators.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5.3</w:t>
                  </w:r>
                </w:p>
              </w:tc>
              <w:tc>
                <w:tcPr>
                  <w:tcW w:w="4453" w:type="dxa"/>
                </w:tcPr>
                <w:p w:rsidR="00B91970" w:rsidRDefault="008D15DD">
                  <w:r>
                    <w:t>Remotely controlled underground mobile equipment</w:t>
                  </w:r>
                  <w:r>
                    <w:t xml:space="preserve"> is fitted with remote activation of the on board fire suppression system from the operator’s remote control unit.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5.4</w:t>
                  </w:r>
                </w:p>
              </w:tc>
              <w:tc>
                <w:tcPr>
                  <w:tcW w:w="4453" w:type="dxa"/>
                </w:tcPr>
                <w:p w:rsidR="00B91970" w:rsidRDefault="008D15DD">
                  <w:r>
                    <w:t>Underground loading and hauling equipment is fitted with brake temperature indicators.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5.5</w:t>
                  </w:r>
                </w:p>
              </w:tc>
              <w:tc>
                <w:tcPr>
                  <w:tcW w:w="4453" w:type="dxa"/>
                </w:tcPr>
                <w:p w:rsidR="00B91970" w:rsidRDefault="008D15DD">
                  <w:r>
                    <w:t>The pre-start check of underground mobil</w:t>
                  </w:r>
                  <w:r>
                    <w:t>e equipment includes an inspection for potential fire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5.6</w:t>
                  </w:r>
                </w:p>
              </w:tc>
              <w:tc>
                <w:tcPr>
                  <w:tcW w:w="4453" w:type="dxa"/>
                </w:tcPr>
                <w:p w:rsidR="00B91970" w:rsidRDefault="008D15DD">
                  <w:r>
                    <w:t>There is a system in place for the regular inspection of underground mobile equipment for potential fire risks, by a competent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5.7</w:t>
                  </w:r>
                </w:p>
              </w:tc>
              <w:tc>
                <w:tcPr>
                  <w:tcW w:w="4453" w:type="dxa"/>
                </w:tcPr>
                <w:p w:rsidR="00B91970" w:rsidRDefault="008D15DD">
                  <w:r>
                    <w:t xml:space="preserve">The scheduled service fire risk inspection </w:t>
                  </w:r>
                  <w:r>
                    <w:t>includes a check of the integrity of fuel and hydraulic lines, the condition of electrical wiring, and the integrity of emergency shut down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5.8</w:t>
                  </w:r>
                </w:p>
              </w:tc>
              <w:tc>
                <w:tcPr>
                  <w:tcW w:w="4453" w:type="dxa"/>
                </w:tcPr>
                <w:p w:rsidR="00B91970" w:rsidRDefault="008D15DD">
                  <w:r>
                    <w:t>The scheduled service fire risk inspection includes a check of the integrity of the shielding of the</w:t>
                  </w:r>
                  <w:r>
                    <w:t xml:space="preserve"> fuel and oil hoses in the vicinity of the exhaust and turbo charger.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5.9</w:t>
                  </w:r>
                </w:p>
              </w:tc>
              <w:tc>
                <w:tcPr>
                  <w:tcW w:w="4453" w:type="dxa"/>
                </w:tcPr>
                <w:p w:rsidR="00B91970" w:rsidRDefault="008D15DD">
                  <w:r>
                    <w:t>The scheduled service fire risk inspection includes a check of the battery installation for rigidity, tight terminal clamps, cleanliness, etc.</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5.10</w:t>
                  </w:r>
                </w:p>
              </w:tc>
              <w:tc>
                <w:tcPr>
                  <w:tcW w:w="4453" w:type="dxa"/>
                </w:tcPr>
                <w:p w:rsidR="00B91970" w:rsidRDefault="008D15DD">
                  <w:r>
                    <w:t>The scheduled service fire r</w:t>
                  </w:r>
                  <w:r>
                    <w:t>isk inspection includes a check of the fire suppression systems and extinguishers fitted to the item of underground mobile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Underground fixed mechanical installations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6.1</w:t>
                  </w:r>
                </w:p>
              </w:tc>
              <w:tc>
                <w:tcPr>
                  <w:tcW w:w="4453" w:type="dxa"/>
                </w:tcPr>
                <w:p w:rsidR="00B91970" w:rsidRDefault="008D15DD">
                  <w:r>
                    <w:t xml:space="preserve">Underground conveyor </w:t>
                  </w:r>
                  <w:r>
                    <w:t>systems are monitored for abnormal operating conditions that could result in a fire.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6.2</w:t>
                  </w:r>
                </w:p>
              </w:tc>
              <w:tc>
                <w:tcPr>
                  <w:tcW w:w="4453" w:type="dxa"/>
                </w:tcPr>
                <w:p w:rsidR="00B91970" w:rsidRDefault="008D15DD">
                  <w:r>
                    <w:t xml:space="preserve">Underground conveyor haulage ways have a fixed fire detection / suppression system installed that is designed for automatic operation and also has provision for </w:t>
                  </w:r>
                  <w:r>
                    <w:t>manual operation.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6.3</w:t>
                  </w:r>
                </w:p>
              </w:tc>
              <w:tc>
                <w:tcPr>
                  <w:tcW w:w="4453" w:type="dxa"/>
                </w:tcPr>
                <w:p w:rsidR="00B91970" w:rsidRDefault="008D15DD">
                  <w:r>
                    <w:t>Underground fixed equipment condition monitoring and fire detection / suppression systems are maintained.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6.4</w:t>
                  </w:r>
                </w:p>
              </w:tc>
              <w:tc>
                <w:tcPr>
                  <w:tcW w:w="4453" w:type="dxa"/>
                </w:tcPr>
                <w:p w:rsidR="00B91970" w:rsidRDefault="008D15DD">
                  <w:r>
                    <w:t>Underground conveyor belts are of a flame resistant type.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6.5</w:t>
                  </w:r>
                </w:p>
              </w:tc>
              <w:tc>
                <w:tcPr>
                  <w:tcW w:w="4453" w:type="dxa"/>
                </w:tcPr>
                <w:p w:rsidR="00B91970" w:rsidRDefault="008D15DD">
                  <w:r>
                    <w:t>Underground belt driven equipment e.g. pumps, is rout</w:t>
                  </w:r>
                  <w:r>
                    <w:t>inely checked for drive belt tightness.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6.6</w:t>
                  </w:r>
                </w:p>
              </w:tc>
              <w:tc>
                <w:tcPr>
                  <w:tcW w:w="4453" w:type="dxa"/>
                </w:tcPr>
                <w:p w:rsidR="00B91970" w:rsidRDefault="008D15DD">
                  <w:r>
                    <w:t>Underground areas with fixed mechanical equipment installed and operating have appropriate portable fire extinguishers located in the intake airway.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Underground fixed electrical installations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7.1</w:t>
                  </w:r>
                </w:p>
              </w:tc>
              <w:tc>
                <w:tcPr>
                  <w:tcW w:w="4453" w:type="dxa"/>
                </w:tcPr>
                <w:p w:rsidR="00B91970" w:rsidRDefault="008D15DD">
                  <w:r>
                    <w:t xml:space="preserve">There are documented standards for the installation of electrical equipment and cables, such that damage by mobile equipment or from other types of impact, is prevented or </w:t>
                  </w:r>
                  <w:r>
                    <w:lastRenderedPageBreak/>
                    <w:t>minimised.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7.2</w:t>
                  </w:r>
                </w:p>
              </w:tc>
              <w:tc>
                <w:tcPr>
                  <w:tcW w:w="4453" w:type="dxa"/>
                </w:tcPr>
                <w:p w:rsidR="00B91970" w:rsidRDefault="008D15DD">
                  <w:r>
                    <w:t xml:space="preserve">Underground oil filled </w:t>
                  </w:r>
                  <w:r>
                    <w:t>electrical equipment installations are constructed so as to contain any leaks.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7.3</w:t>
                  </w:r>
                </w:p>
              </w:tc>
              <w:tc>
                <w:tcPr>
                  <w:tcW w:w="4453" w:type="dxa"/>
                </w:tcPr>
                <w:p w:rsidR="00B91970" w:rsidRDefault="008D15DD">
                  <w:r>
                    <w:t>Only non-flammable coolants are used in underground electrical equipment installations.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7.4</w:t>
                  </w:r>
                </w:p>
              </w:tc>
              <w:tc>
                <w:tcPr>
                  <w:tcW w:w="4453" w:type="dxa"/>
                </w:tcPr>
                <w:p w:rsidR="00B91970" w:rsidRDefault="008D15DD">
                  <w:r>
                    <w:t>Where underground fixed electrical installations are within fenced enclosur</w:t>
                  </w:r>
                  <w:r>
                    <w:t>es, appropriate portable fire extinguishers are located outside of the fence, in the intake airway.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7.5</w:t>
                  </w:r>
                </w:p>
              </w:tc>
              <w:tc>
                <w:tcPr>
                  <w:tcW w:w="4453" w:type="dxa"/>
                </w:tcPr>
                <w:p w:rsidR="00B91970" w:rsidRDefault="008D15DD">
                  <w:r>
                    <w:t>Only non-flammable sprays are used in the maintenance and cleaning of underground electrical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Underground air compressors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8.1</w:t>
                  </w:r>
                </w:p>
              </w:tc>
              <w:tc>
                <w:tcPr>
                  <w:tcW w:w="4453" w:type="dxa"/>
                </w:tcPr>
                <w:p w:rsidR="00B91970" w:rsidRDefault="008D15DD">
                  <w:r>
                    <w:t>Stationary and skid mounted air compressors installed underground comply with AS 4297.</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8.2</w:t>
                  </w:r>
                </w:p>
              </w:tc>
              <w:tc>
                <w:tcPr>
                  <w:tcW w:w="4453" w:type="dxa"/>
                </w:tcPr>
                <w:p w:rsidR="00B91970" w:rsidRDefault="008D15DD">
                  <w:r>
                    <w:t>Air compressors used underground and driven by a diesel engine are liquid cooled.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8.3</w:t>
                  </w:r>
                </w:p>
              </w:tc>
              <w:tc>
                <w:tcPr>
                  <w:tcW w:w="4453" w:type="dxa"/>
                </w:tcPr>
                <w:p w:rsidR="00B91970" w:rsidRDefault="008D15DD">
                  <w:r>
                    <w:t xml:space="preserve">Where an air compressor used </w:t>
                  </w:r>
                  <w:r>
                    <w:t>underground is driven by a diesel engine, the engine is provided with an automatic fire suppression system.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8.4</w:t>
                  </w:r>
                </w:p>
              </w:tc>
              <w:tc>
                <w:tcPr>
                  <w:tcW w:w="4453" w:type="dxa"/>
                </w:tcPr>
                <w:p w:rsidR="00B91970" w:rsidRDefault="008D15DD">
                  <w:r>
                    <w:t>Air compressors used underground are fitted with a heat sensor in the discharge port which will initiate an alarm and then shut down at 150 d</w:t>
                  </w:r>
                  <w:r>
                    <w:t>egrees Celsius.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8.5</w:t>
                  </w:r>
                </w:p>
              </w:tc>
              <w:tc>
                <w:tcPr>
                  <w:tcW w:w="4453" w:type="dxa"/>
                </w:tcPr>
                <w:p w:rsidR="00B91970" w:rsidRDefault="008D15DD">
                  <w:r>
                    <w:t>Where an air compressor used underground is unattended, it is located in a return ventilation airway behind an air control device.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Underground workshops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9.1</w:t>
                  </w:r>
                </w:p>
              </w:tc>
              <w:tc>
                <w:tcPr>
                  <w:tcW w:w="4453" w:type="dxa"/>
                </w:tcPr>
                <w:p w:rsidR="00B91970" w:rsidRDefault="008D15DD">
                  <w:r>
                    <w:t>There are at least 2 clearly</w:t>
                  </w:r>
                  <w:r>
                    <w:t xml:space="preserve"> marked exits from each underground workshop.</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9.2</w:t>
                  </w:r>
                </w:p>
              </w:tc>
              <w:tc>
                <w:tcPr>
                  <w:tcW w:w="4453" w:type="dxa"/>
                </w:tcPr>
                <w:p w:rsidR="00B91970" w:rsidRDefault="008D15DD">
                  <w:r>
                    <w:t>Appropriate fire fighting appliances are provided in underground workshops.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9.3</w:t>
                  </w:r>
                </w:p>
              </w:tc>
              <w:tc>
                <w:tcPr>
                  <w:tcW w:w="4453" w:type="dxa"/>
                </w:tcPr>
                <w:p w:rsidR="00B91970" w:rsidRDefault="008D15DD">
                  <w:r>
                    <w:t>Class dedicated storage cabinets are used to store the hazardous substances used in the workshop.</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9.4</w:t>
                  </w:r>
                </w:p>
              </w:tc>
              <w:tc>
                <w:tcPr>
                  <w:tcW w:w="4453" w:type="dxa"/>
                </w:tcPr>
                <w:p w:rsidR="00B91970" w:rsidRDefault="008D15DD">
                  <w:r>
                    <w:t xml:space="preserve">All compressed </w:t>
                  </w:r>
                  <w:r>
                    <w:t>gas cylinders and associated equipment are checked for leaks.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10</w:t>
            </w:r>
            <w:r w:rsidR="00EA26DF">
              <w:tab/>
            </w:r>
            <w:r>
              <w:t>Maintenance and operating procedures underground</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91970" w:rsidRDefault="008D15DD">
                  <w:pPr>
                    <w:pStyle w:val="Tablenormal0"/>
                    <w:rPr>
                      <w:color w:val="000080"/>
                    </w:rPr>
                  </w:pPr>
                  <w:r>
                    <w:rPr>
                      <w:color w:val="000080"/>
                    </w:rPr>
                    <w:t>10.1</w:t>
                  </w:r>
                </w:p>
              </w:tc>
              <w:tc>
                <w:tcPr>
                  <w:tcW w:w="4453" w:type="dxa"/>
                </w:tcPr>
                <w:p w:rsidR="00B91970" w:rsidRDefault="008D15DD">
                  <w:r>
                    <w:t xml:space="preserve">A hot work permit system is in place for all such work underground work not carried out in </w:t>
                  </w:r>
                  <w:r>
                    <w:t>a workshop.</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10.2</w:t>
                  </w:r>
                </w:p>
              </w:tc>
              <w:tc>
                <w:tcPr>
                  <w:tcW w:w="4453" w:type="dxa"/>
                </w:tcPr>
                <w:p w:rsidR="00B91970" w:rsidRDefault="008D15DD">
                  <w:r>
                    <w:t>Maintenance procedures identify associated fire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10.3</w:t>
                  </w:r>
                </w:p>
              </w:tc>
              <w:tc>
                <w:tcPr>
                  <w:tcW w:w="4453" w:type="dxa"/>
                </w:tcPr>
                <w:p w:rsidR="00B91970" w:rsidRDefault="008D15DD">
                  <w:r>
                    <w:t>Both mobile equipment and fixed fire suppression systems are tested and maintained in accordance with the manufacturer’s specifications.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10.4</w:t>
                  </w:r>
                </w:p>
              </w:tc>
              <w:tc>
                <w:tcPr>
                  <w:tcW w:w="4453" w:type="dxa"/>
                </w:tcPr>
                <w:p w:rsidR="00B91970" w:rsidRDefault="008D15DD">
                  <w:r>
                    <w:t>There is an inspection and</w:t>
                  </w:r>
                  <w:r>
                    <w:t xml:space="preserve"> maintenance procedure for fire hydrants, extinguishers and signs.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lastRenderedPageBreak/>
                    <w:t>10.5</w:t>
                  </w:r>
                </w:p>
              </w:tc>
              <w:tc>
                <w:tcPr>
                  <w:tcW w:w="4453" w:type="dxa"/>
                </w:tcPr>
                <w:p w:rsidR="00B91970" w:rsidRDefault="008D15DD">
                  <w:r>
                    <w:t>Operating procedures require that a vehicle that experiences a flat tyre underground is then only driven a short distance to a location where a new tyre can be fitted.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91970" w:rsidRDefault="008D15DD">
                  <w:pPr>
                    <w:pStyle w:val="Tablenormal0"/>
                    <w:rPr>
                      <w:color w:val="000080"/>
                    </w:rPr>
                  </w:pPr>
                  <w:r>
                    <w:rPr>
                      <w:color w:val="000080"/>
                    </w:rPr>
                    <w:t>10.6</w:t>
                  </w:r>
                </w:p>
              </w:tc>
              <w:tc>
                <w:tcPr>
                  <w:tcW w:w="4453" w:type="dxa"/>
                </w:tcPr>
                <w:p w:rsidR="00B91970" w:rsidRDefault="008D15DD">
                  <w:r>
                    <w:t>Opera</w:t>
                  </w:r>
                  <w:r>
                    <w:t>ting procedures require that trackless units are not left unattended unless the engine or power supply has been switched off.</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91970" w:rsidRDefault="00B91970"/>
        </w:tc>
      </w:tr>
    </w:tbl>
    <w:p w:rsidR="00000000" w:rsidRDefault="008D15DD"/>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Underground fire prevention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8D15DD">
      <w:rPr>
        <w:noProof/>
      </w:rPr>
      <w:t>2</w:t>
    </w:r>
    <w:r w:rsidR="00B64808" w:rsidRPr="006746A8">
      <w:fldChar w:fldCharType="end"/>
    </w:r>
    <w:r w:rsidR="00B64808" w:rsidRPr="006746A8">
      <w:t xml:space="preserve"> of </w:t>
    </w:r>
    <w:r w:rsidR="008D15DD">
      <w:fldChar w:fldCharType="begin"/>
    </w:r>
    <w:r w:rsidR="008D15DD">
      <w:instrText xml:space="preserve"> NUMPAGES  \* Arabic  \* MERGEFORMAT </w:instrText>
    </w:r>
    <w:r w:rsidR="008D15DD">
      <w:fldChar w:fldCharType="separate"/>
    </w:r>
    <w:r w:rsidR="008D15DD">
      <w:rPr>
        <w:noProof/>
      </w:rPr>
      <w:t>9</w:t>
    </w:r>
    <w:r w:rsidR="008D15D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D15DD"/>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1970"/>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A0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purl.org/dc/elements/1.1/"/>
    <ds:schemaRef ds:uri="e7c7f6fc-0c1f-4db4-bdfb-1d5a5c7fbe5d"/>
    <ds:schemaRef ds:uri="http://schemas.microsoft.com/office/2006/documentManagement/types"/>
    <ds:schemaRef ds:uri="http://schemas.microsoft.com/office/infopath/2007/PartnerControls"/>
    <ds:schemaRef ds:uri="http://schemas.microsoft.com/office/2006/metadata/properties"/>
    <ds:schemaRef ds:uri="http://schemas.microsoft.com/sharepoint/v3/field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C4F9F-8D22-4014-8FC8-EDFF9D48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15A9B42D</Template>
  <TotalTime>0</TotalTime>
  <Pages>9</Pages>
  <Words>1420</Words>
  <Characters>8294</Characters>
  <Application>Microsoft Office Word</Application>
  <DocSecurity>4</DocSecurity>
  <Lines>552</Lines>
  <Paragraphs>231</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WILLIAMS, Josh</cp:lastModifiedBy>
  <cp:revision>2</cp:revision>
  <cp:lastPrinted>2016-02-04T01:14:00Z</cp:lastPrinted>
  <dcterms:created xsi:type="dcterms:W3CDTF">2017-10-02T03:59:00Z</dcterms:created>
  <dcterms:modified xsi:type="dcterms:W3CDTF">2017-10-02T03:59:00Z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