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2" w:rsidRDefault="00B32775" w:rsidP="003C7FC2">
      <w:pPr>
        <w:pStyle w:val="Heading1"/>
        <w:tabs>
          <w:tab w:val="right" w:pos="14459"/>
        </w:tabs>
      </w:pPr>
      <w:bookmarkStart w:id="0" w:name="_GoBack"/>
      <w:bookmarkEnd w:id="0"/>
      <w:r>
        <w:t>Village: Occupational health and safety (OSH)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85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Administration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Company policies displayed (principal employer)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Contractor policies displayed (village operator)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Management plans/procedures are in place related to occupational health and safety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Management plans/procedures are in place </w:t>
                  </w:r>
                  <w:r>
                    <w:t>related to training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Management plans/procedures are in place related to fitness for work (e.g. alcohol and other drugs)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Management plans/procedures are in place related to bullying, violence and aggression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1.7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Management plans/procedures </w:t>
                  </w:r>
                  <w:r>
                    <w:t>are in place related to employee assistance programme (EAP)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1.8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There are systems for workplace injury and incident reporting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1.9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There is a system for hazard reporting that identifies actions (both open and closed)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1.10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There is a system </w:t>
                  </w:r>
                  <w:r>
                    <w:t>demonstrating employees procedural sign-off (safe work instruction)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1.11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There is a current training matrix that is </w:t>
                  </w:r>
                  <w:r>
                    <w:lastRenderedPageBreak/>
                    <w:t>available to supervisors and employees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1.12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Appropriate first aid facility (equipment) is available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1.13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First aid personnel are av</w:t>
                  </w:r>
                  <w:r>
                    <w:t>ailable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096D12" w:rsidRDefault="00096D12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Management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The village has a manager, or a person is appointed as a village manager by the Registered Manager of the mining operation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The manager or appointed manager is familiar with the </w:t>
                  </w:r>
                  <w:r>
                    <w:t>reporting requirements under the MSIA and MSIR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Managers and supervisors are provided with training (e.g. bullying awareness, communication, supervision)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Adequate supervision has been provided for the size of the workplace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A risk assess</w:t>
                  </w:r>
                  <w:r>
                    <w:t>ment for the village has been completed and is kept up-to-date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There is a change management process in place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2.7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A noise report has been completed by a competent person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2.8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An emergency management plan has been developed and implemented at the</w:t>
                  </w:r>
                  <w:r>
                    <w:t xml:space="preserve"> village (e.g. fires, cyclones, routes, muster points)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2.9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There are procedures in place to ensure reliable supply of potable water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2.10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There are security measures in place at the village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2.11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There is a register of occupants in residence kept at</w:t>
                  </w:r>
                  <w:r>
                    <w:t xml:space="preserve"> the village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2.12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Duplicate keys for each room are available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2.13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Rooms are easily identifiable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096D12" w:rsidRDefault="00096D12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Training requirements and competencies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An employer(s) general induction is available and implemented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A site-specific induction is available and implemented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Employees are provided with appropriate training (e.g. bullying awareness, communication, risk management)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3.4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Employees are given adequate instruction and training in safety procedures</w:t>
                  </w:r>
                  <w:r>
                    <w:t xml:space="preserve"> and safe systems of work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Employees are trained in manual handling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3.6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Relevant employees are trained in chemical handling and use of safety data sheets (SDS)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3.7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Employees hold necessary, current high risk work licence (e.g. forklift, EWP)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3.8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Employees are trained in firefighting (e.g. fire extinguisher use)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3.9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Employees are trained in fatigue management and prevention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3.10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Employees are trained in emergency preparedness (e.g. evacuation, cyclone)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3.11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Employees are trained and </w:t>
                  </w:r>
                  <w:r>
                    <w:t>assessed as competent to operate light vehicles around heavy mine equipment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3.12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Employees are trained in traffic management (e.g. mining access, haul roads, vehicle and pedestrian separation)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3.13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Employees and supervisors carry out personal </w:t>
                  </w:r>
                  <w:r>
                    <w:t>workplace inspections (e.g. ‘Take 5’)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3.14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Employees hold speciality competencies where appropriate (e.g. snake handling, operating chain saws, ride-on mowers, golf buggy carts) where appropriate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096D12" w:rsidRDefault="00096D12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Dangerous Goods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Safety data sheets (SDS) are available and appropriate to the inventory in each area or location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Bulk cleaning fluids stored within bund containment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Sufficient dangerous goods safety signage is displayed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4.4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There are </w:t>
                  </w:r>
                  <w:r>
                    <w:t>procedures in place at the village for a vermin control program (e.g. mice, mosquitoes) and associated hazards (e.g. chemicals, poisons) are controlled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4.5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Fire extinguishers are in-date, located and signed appropriately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4.6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Chemical storage </w:t>
                  </w:r>
                  <w:r>
                    <w:t>cupboards are self-closing, lockable, clearly marked and chemicals are segregated  appropriately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4.7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Employees have adequate instruction and training in the appropriate use of biological controlling chemicals (e.g. disinfectant, herbicide, mould prevent</w:t>
                  </w:r>
                  <w:r>
                    <w:t>ion)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4.8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Employees have adequate instruction and training in the appropriate use of biological controlling chemicals (e.g. disinfectant, herbicide, mould prevention)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096D12" w:rsidRDefault="00096D12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Traffic (and pedestrian) management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A traffic management plan for  the village has been developed and implemented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Walkways and handrails are adequately maintained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Steps and ramps are adequately maintained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Lighting (e.g. buildings, pathways, parking) is adequately </w:t>
                  </w:r>
                  <w:r>
                    <w:t>maintained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5.5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Traffic management procedures (e.g. entry or exit, loading and unloading, spotting) have been developed and are implemented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5.6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Traffic controls (e.g. signage, crossings, parking areas, bus laydown) are adequately maintained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096D12" w:rsidRDefault="00096D12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Storage (dry and chilled)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Trolleys and manual lift forks are provided, fit-for-purpose, clearly load-rated and maintained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Load rating of shelving is adequate and shelving is stable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6.3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Items are stored </w:t>
                  </w:r>
                  <w:r>
                    <w:t>in a stable manner and not overloaded (as per item no. 6.2)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6.4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Items stored appropriately, so they are not too heavy for the height they are stored at and the method of retrieval (e.g. manual handling)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6.5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Safe access and egress from all cool rooms </w:t>
                  </w:r>
                  <w:r>
                    <w:t>(exit from inside must be possible)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6.6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Loading areas and stores are maintained and free from hazards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6.7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Loading bay maintained in a safe condition (e.g. stops, rails, barricades)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096D12" w:rsidRDefault="00096D12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7</w:t>
            </w:r>
            <w:r w:rsidR="00EA26DF">
              <w:tab/>
            </w:r>
            <w:r>
              <w:t>Food preparation areas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Access to work areas should be clear and free of hazards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7.2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Guarding is in place where appropriate (e.g. rotating and cutting equipment)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7.3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Adequate storage is available for all utensils (e.g. frying pans, pots, trays)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7.4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Food storage is </w:t>
                  </w:r>
                  <w:r>
                    <w:t>compliant with health standards and good manual handling practices.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7.5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Hygiene and food temperature procedures are appropriately maintained (e.g. handling raw and cooked food, washing-up facilities, floors, containers, bain maries)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7.6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Hot surfaces </w:t>
                  </w:r>
                  <w:r>
                    <w:t>are protected and appropriately signed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7.7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Appropriate personal protective equipment (PPE) for food preparation (e.g. cut resistant gloves, aprons, rubber gloves, hair nets) is supplied and utilised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7.8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Wet areas have non-slip flooring or mats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096D12" w:rsidRDefault="00096D12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8</w:t>
            </w:r>
            <w:r w:rsidR="00EA26DF">
              <w:tab/>
            </w:r>
            <w:r>
              <w:t>Safety and health representatives [SHRep(s)]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SHRep(s) have been appointed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8.2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Election of SHRep(s) was by secret ballot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8.3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Notification of election of SHRep(s) given to elected person, employer and to </w:t>
                  </w:r>
                  <w:r>
                    <w:t>State mining engineer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8.4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SHRep(s) have attended an introductory course within the first 12 months of being elected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8.5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Facilities and assistance are provided to SHRep(s)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8.6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Managers and SHRep(s) are aware of the functions of a SHRep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8.7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SHRep(s) permitted to attend safety committee meetings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8.8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SHRep(s) notified without delay of any accident or occurrence in a part of the mine where </w:t>
                  </w:r>
                  <w:r>
                    <w:lastRenderedPageBreak/>
                    <w:t>employees who are represented work.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8.9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In the event of an accident or incident SHRep(s) carry out an</w:t>
                  </w:r>
                  <w:r>
                    <w:t xml:space="preserve"> appropriate investigation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8.10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There is a process in place to ensure a SHRep(s) or worker is not disadvantaged by any employer for raising a health and safety issue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8.11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There is a procedure in place to resolve any conflicting safety and health issu</w:t>
                  </w:r>
                  <w:r>
                    <w:t>es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096D12" w:rsidRDefault="00096D12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9</w:t>
            </w:r>
            <w:r w:rsidR="00EA26DF">
              <w:tab/>
            </w:r>
            <w:r>
              <w:t>Personal protective equipment (PPE)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Employees are provided with  adequate PPE as is practicable, to protect them against hazards, without cost to the employees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9.2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Employees wear or use PPE provided</w:t>
                  </w:r>
                  <w:r>
                    <w:t xml:space="preserve"> to protect them against any hazards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9.3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Employees are properly fitted with such PPE and are properly instructed in its use by a competent person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9.4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 xml:space="preserve">Employees must ensure that loose clothing, personal adornments and hair are confined so as to </w:t>
                  </w:r>
                  <w:r>
                    <w:t>prevent entanglement with any machinery, electrical equipment or other device in the workplace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9.5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All personnel wear properly adjusted and securely fastened seatbelts when driving or travelling in vehicles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096D12" w:rsidRDefault="00096D12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10</w:t>
            </w:r>
            <w:r w:rsidR="00EA26DF">
              <w:tab/>
            </w:r>
            <w:r>
              <w:t>General aspects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10.1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Floors are adequately maintained and are kept clear of trip hazards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10.2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Exercise facilities at the village are adequately maintained and there is a procedure for their safe use (e.g. induction and instruction for equipment)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10.3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There is a process for collecting and disposing of rubbish (manual or mechanical), and equipment is adequately maintained (e.g. purpose-built, trailer with cage)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10.4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All areas have an acceptable level of housekeeping, so no person is exposed to</w:t>
                  </w:r>
                  <w:r>
                    <w:t xml:space="preserve"> a hazard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096D12" w:rsidRDefault="002E654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10.5</w:t>
                  </w:r>
                </w:p>
              </w:tc>
              <w:tc>
                <w:tcPr>
                  <w:tcW w:w="4453" w:type="dxa"/>
                </w:tcPr>
                <w:p w:rsidR="00096D12" w:rsidRDefault="002E654E">
                  <w:r>
                    <w:t>Fire alarms are installed in all buildings and rooms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096D12" w:rsidRDefault="00096D12"/>
        </w:tc>
      </w:tr>
    </w:tbl>
    <w:p w:rsidR="00000000" w:rsidRDefault="002E654E"/>
    <w:sectPr w:rsidR="00000000" w:rsidSect="00DE27A5">
      <w:headerReference w:type="default" r:id="rId12"/>
      <w:footerReference w:type="default" r:id="rId13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10" w:rsidRDefault="00966210">
      <w:r>
        <w:separator/>
      </w:r>
    </w:p>
  </w:endnote>
  <w:endnote w:type="continuationSeparator" w:id="0">
    <w:p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6746A8" w:rsidRDefault="00B32775" w:rsidP="006746A8">
    <w:pPr>
      <w:pStyle w:val="Footer"/>
      <w:tabs>
        <w:tab w:val="right" w:pos="14459"/>
      </w:tabs>
    </w:pPr>
    <w:r>
      <w:t>Village: Occupational health and safety (OSH)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2E654E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r w:rsidR="002E654E">
      <w:fldChar w:fldCharType="begin"/>
    </w:r>
    <w:r w:rsidR="002E654E">
      <w:instrText xml:space="preserve"> NUMPAGES  \* Arabic  \* MERGEFORMAT </w:instrText>
    </w:r>
    <w:r w:rsidR="002E654E">
      <w:fldChar w:fldCharType="separate"/>
    </w:r>
    <w:r w:rsidR="002E654E">
      <w:rPr>
        <w:noProof/>
      </w:rPr>
      <w:t>9</w:t>
    </w:r>
    <w:r w:rsidR="002E654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10" w:rsidRDefault="00966210">
      <w:r>
        <w:separator/>
      </w:r>
    </w:p>
  </w:footnote>
  <w:footnote w:type="continuationSeparator" w:id="0">
    <w:p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96D12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54E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544E4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75F2-7993-4C9D-83CA-2BDA11DF54B3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sharepoint/v3"/>
    <ds:schemaRef ds:uri="e7c7f6fc-0c1f-4db4-bdfb-1d5a5c7fbe5d"/>
    <ds:schemaRef ds:uri="http://purl.org/dc/elements/1.1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E3D261-13C9-42CA-9CD6-C2EF4C43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431479AC</Template>
  <TotalTime>1</TotalTime>
  <Pages>9</Pages>
  <Words>1364</Words>
  <Characters>7791</Characters>
  <Application>Microsoft Office Word</Application>
  <DocSecurity>4</DocSecurity>
  <Lines>599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2017-09-29T06:57:00Z</dcterms:created>
  <dcterms:modified xsi:type="dcterms:W3CDTF">2017-09-29T06:57:00Z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